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widowControl/>
        <w:tabs>
          <w:tab w:val="left" w:pos="3420" w:leader="none"/>
          <w:tab w:val="left" w:pos="3765" w:leader="none"/>
          <w:tab w:val="right" w:pos="9754" w:leader="none"/>
        </w:tabs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widowControl/>
        <w:tabs>
          <w:tab w:val="left" w:pos="3420" w:leader="none"/>
          <w:tab w:val="left" w:pos="3765" w:leader="none"/>
          <w:tab w:val="right" w:pos="9754" w:leader="none"/>
        </w:tabs>
        <w:rPr>
          <w:b/>
          <w:bCs/>
          <w:sz w:val="16"/>
          <w:szCs w:val="16"/>
        </w:rPr>
        <w:outlineLvl w:val="0"/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center"/>
        <w:rPr>
          <w:rFonts w:ascii="Arial" w:hAnsi="Arial" w:cs="Arial"/>
          <w:b/>
          <w:sz w:val="16"/>
          <w:szCs w:val="16"/>
        </w:rPr>
        <w:outlineLvl w:val="0"/>
      </w:pP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</w:p>
    <w:p>
      <w:pPr>
        <w:jc w:val="center"/>
        <w:rPr>
          <w:rFonts w:ascii="Arial" w:hAnsi="Arial" w:cs="Arial"/>
          <w:b/>
        </w:rPr>
        <w:outlineLvl w:val="0"/>
      </w:pPr>
      <w:r>
        <w:rPr>
          <w:rFonts w:ascii="Arial" w:hAnsi="Arial" w:eastAsia="Arial" w:cs="Arial"/>
          <w:b/>
        </w:rPr>
        <w:t xml:space="preserve">ГУБКИНСКИЙ ГОРОДСКОЙ ОКРУГ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БЕЛГОРОДСКОЙ ОБЛАСТИ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  <w:b/>
          <w:sz w:val="36"/>
          <w:szCs w:val="36"/>
        </w:rPr>
        <w:outlineLvl w:val="0"/>
      </w:pPr>
      <w:r>
        <w:rPr>
          <w:rFonts w:ascii="Arial" w:hAnsi="Arial" w:eastAsia="Arial" w:cs="Arial"/>
          <w:b/>
          <w:sz w:val="34"/>
          <w:szCs w:val="34"/>
        </w:rPr>
        <w:t xml:space="preserve">АДМИНИСТРАЦИЯ ГУБКИНСКОГО ГОРОДСКОГО ОКРУГА</w:t>
      </w:r>
      <w:r>
        <w:rPr>
          <w:rFonts w:ascii="Arial" w:hAnsi="Arial" w:cs="Arial"/>
          <w:b/>
          <w:sz w:val="36"/>
          <w:szCs w:val="36"/>
        </w:rPr>
      </w:r>
      <w:r>
        <w:rPr>
          <w:rFonts w:ascii="Arial" w:hAnsi="Arial" w:cs="Arial"/>
          <w:b/>
          <w:sz w:val="36"/>
          <w:szCs w:val="36"/>
        </w:rPr>
      </w:r>
    </w:p>
    <w:p>
      <w:pPr>
        <w:jc w:val="center"/>
        <w:rPr>
          <w:rFonts w:ascii="Arial" w:hAnsi="Arial" w:cs="Arial"/>
          <w:b/>
        </w:rPr>
        <w:outlineLvl w:val="0"/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  <w:sz w:val="32"/>
          <w:szCs w:val="32"/>
        </w:rPr>
        <w:outlineLvl w:val="0"/>
      </w:pPr>
      <w:r>
        <w:rPr>
          <w:rFonts w:ascii="Arial" w:hAnsi="Arial" w:eastAsia="Arial" w:cs="Arial"/>
          <w:sz w:val="32"/>
          <w:szCs w:val="32"/>
        </w:rPr>
        <w:t xml:space="preserve">П</w:t>
      </w:r>
      <w:r>
        <w:rPr>
          <w:rFonts w:ascii="Arial" w:hAnsi="Arial" w:eastAsia="Arial" w:cs="Arial"/>
          <w:sz w:val="32"/>
          <w:szCs w:val="32"/>
        </w:rPr>
        <w:t xml:space="preserve"> О С Т А Н О В Л Е Н И Е</w:t>
      </w:r>
      <w:r>
        <w:rPr>
          <w:rFonts w:ascii="Arial" w:hAnsi="Arial" w:cs="Arial"/>
          <w:sz w:val="32"/>
          <w:szCs w:val="32"/>
        </w:rPr>
      </w:r>
      <w:r>
        <w:rPr>
          <w:rFonts w:ascii="Arial" w:hAnsi="Arial" w:cs="Arial"/>
          <w:sz w:val="32"/>
          <w:szCs w:val="32"/>
        </w:rPr>
      </w: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eastAsia="Arial" w:cs="Arial"/>
          <w:b/>
          <w:sz w:val="17"/>
          <w:szCs w:val="17"/>
        </w:rPr>
        <w:t xml:space="preserve">Губкин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eastAsia="Arial" w:cs="Arial"/>
          <w:b/>
        </w:rPr>
        <w:t xml:space="preserve"> 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eastAsia="Arial" w:cs="Arial"/>
          <w:b/>
          <w:sz w:val="18"/>
          <w:szCs w:val="18"/>
        </w:rPr>
        <w:t xml:space="preserve"> « </w:t>
      </w:r>
      <w:r>
        <w:rPr>
          <w:rFonts w:ascii="Arial" w:hAnsi="Arial" w:eastAsia="Arial" w:cs="Arial"/>
          <w:b/>
          <w:sz w:val="18"/>
          <w:szCs w:val="18"/>
        </w:rPr>
        <w:t xml:space="preserve"> _____</w:t>
      </w:r>
      <w:r>
        <w:rPr>
          <w:rFonts w:ascii="Arial" w:hAnsi="Arial" w:eastAsia="Arial" w:cs="Arial"/>
          <w:b/>
          <w:sz w:val="18"/>
          <w:szCs w:val="18"/>
        </w:rPr>
        <w:t xml:space="preserve"> </w:t>
      </w:r>
      <w:r>
        <w:rPr>
          <w:rFonts w:ascii="Arial" w:hAnsi="Arial" w:eastAsia="Arial" w:cs="Arial"/>
          <w:b/>
          <w:sz w:val="18"/>
          <w:szCs w:val="18"/>
        </w:rPr>
        <w:t xml:space="preserve"> »  _____________</w:t>
      </w:r>
      <w:r>
        <w:rPr>
          <w:rFonts w:ascii="Arial" w:hAnsi="Arial" w:eastAsia="Arial" w:cs="Arial"/>
          <w:b/>
          <w:sz w:val="18"/>
          <w:szCs w:val="18"/>
        </w:rPr>
        <w:t xml:space="preserve"> </w:t>
      </w:r>
      <w:r>
        <w:rPr>
          <w:rFonts w:ascii="Arial" w:hAnsi="Arial" w:eastAsia="Arial" w:cs="Arial"/>
          <w:b/>
          <w:sz w:val="18"/>
          <w:szCs w:val="18"/>
        </w:rPr>
        <w:t xml:space="preserve"> 2026 г.                                                                                                            №  </w:t>
      </w:r>
      <w:r>
        <w:rPr>
          <w:rFonts w:ascii="Arial" w:hAnsi="Arial" w:eastAsia="Arial" w:cs="Arial"/>
          <w:b/>
          <w:sz w:val="18"/>
          <w:szCs w:val="18"/>
          <w:u w:val="single"/>
        </w:rPr>
        <w:t xml:space="preserve">________</w:t>
      </w:r>
      <w:r>
        <w:rPr>
          <w:rFonts w:ascii="Arial" w:hAnsi="Arial" w:cs="Arial"/>
          <w:b/>
          <w:sz w:val="18"/>
          <w:szCs w:val="18"/>
          <w:u w:val="single"/>
        </w:rPr>
      </w:r>
      <w:r>
        <w:rPr>
          <w:rFonts w:ascii="Arial" w:hAnsi="Arial" w:cs="Arial"/>
          <w:b/>
          <w:sz w:val="18"/>
          <w:szCs w:val="18"/>
          <w:u w:val="single"/>
        </w:rPr>
      </w:r>
    </w:p>
    <w:p>
      <w:pPr>
        <w:jc w:val="center"/>
        <w:rPr>
          <w:rFonts w:ascii="Arial" w:hAnsi="Arial" w:cs="Arial"/>
          <w:b/>
          <w:sz w:val="28"/>
          <w:szCs w:val="28"/>
        </w:rPr>
        <w:outlineLvl w:val="0"/>
      </w:pP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</w:r>
    </w:p>
    <w:p>
      <w:pPr>
        <w:jc w:val="both"/>
        <w:rPr>
          <w:b/>
          <w:sz w:val="18"/>
          <w:szCs w:val="18"/>
        </w:rPr>
      </w:pP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 xml:space="preserve">                     _</w: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jc w:val="both"/>
        <w:spacing w:line="283" w:lineRule="exact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О внесении изменения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</w:t>
      </w:r>
      <w:r>
        <w:rPr>
          <w:b/>
          <w:sz w:val="28"/>
          <w:szCs w:val="28"/>
        </w:rPr>
        <w:t xml:space="preserve"> городского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283" w:lineRule="exact"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от 24 декабря 2024 года № 1662-па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области, </w:t>
      </w:r>
      <w:r>
        <w:rPr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                         от 24 декабря 2025 года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highlight w:val="none"/>
        </w:rPr>
        <w:t xml:space="preserve">2</w:t>
      </w:r>
      <w:r>
        <w:rPr>
          <w:sz w:val="28"/>
          <w:szCs w:val="28"/>
          <w:highlight w:val="white"/>
        </w:rPr>
        <w:t xml:space="preserve">-нпа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Бюджета Губкинского городского округа Белгородской области на 2026 год и на плановый                     период 2027 и 2028 годов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31 октября 2024 года № 1379-па «О</w:t>
      </w:r>
      <w:r>
        <w:rPr>
          <w:sz w:val="28"/>
          <w:szCs w:val="28"/>
        </w:rPr>
        <w:t xml:space="preserve"> системе управления муниципальными программами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области» администрация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ПОСТАНОВЛЯЕТ: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sz w:val="28"/>
          <w:szCs w:val="28"/>
        </w:rPr>
        <w:t xml:space="preserve">1. Внести изменения в постановление администрации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</w:t>
      </w:r>
      <w:r>
        <w:rPr>
          <w:sz w:val="28"/>
          <w:szCs w:val="28"/>
        </w:rPr>
        <w:t xml:space="preserve">ского округа от 24 декабря 2024 года № 1662-па                                                  «Об утверждении муниципальной программы «Развитие                        экономического потенциала и формирование благоприятного предпринимательского климата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Белгородской области»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редакции постановления администрации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 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26.06.2025 № 692-па, от 18.12.2025                          № 1535-па),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(далее – муниципальная программа)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12"/>
        <w:ind w:firstLine="709"/>
        <w:jc w:val="both"/>
        <w:spacing w:line="322" w:lineRule="exac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изложить муниципальную  программу «Развитие экономического потенциала и формирование благоприятного предпринимательского климата в Губкинском городском округе</w:t>
      </w:r>
      <w:r>
        <w:rPr>
          <w:sz w:val="28"/>
          <w:szCs w:val="28"/>
        </w:rPr>
        <w:t xml:space="preserve"> Белгородской области</w:t>
      </w:r>
      <w:r>
        <w:rPr>
          <w:sz w:val="28"/>
          <w:szCs w:val="28"/>
        </w:rPr>
        <w:t xml:space="preserve">», утвержденную вышеуказанным постановлением, в редакции согласно приложению к настоящему постановлению.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12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sz w:val="28"/>
        </w:rPr>
        <w:t xml:space="preserve">Опубликовать постановление в средствах массовой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исполнением постановления возложить на                    заместителя главы администрации по инвестиционной политике и экономическому развитию Шапченко Ю.П.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Временно исполняющий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полномочия главы администрации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</w:t>
      </w:r>
      <w:r>
        <w:rPr>
          <w:b/>
          <w:sz w:val="28"/>
          <w:szCs w:val="28"/>
        </w:rPr>
        <w:t xml:space="preserve">круга                                                        В.Г. Голиков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</w:t>
      </w:r>
      <w:r>
        <w:rPr>
          <w:b/>
          <w:sz w:val="28"/>
          <w:szCs w:val="28"/>
          <w:lang w:eastAsia="en-US"/>
        </w:rPr>
        <w:t xml:space="preserve">                                                    Приложение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                  </w:t>
      </w:r>
      <w:r>
        <w:rPr>
          <w:b/>
          <w:sz w:val="28"/>
          <w:szCs w:val="28"/>
          <w:lang w:eastAsia="en-US"/>
        </w:rPr>
        <w:t xml:space="preserve">                          к постановлению администрации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                                                           </w:t>
      </w:r>
      <w:r>
        <w:rPr>
          <w:b/>
          <w:sz w:val="28"/>
          <w:szCs w:val="28"/>
          <w:lang w:eastAsia="en-US"/>
        </w:rPr>
        <w:t xml:space="preserve">Губкинского</w:t>
      </w:r>
      <w:r>
        <w:rPr>
          <w:b/>
          <w:sz w:val="28"/>
          <w:szCs w:val="28"/>
          <w:lang w:eastAsia="en-US"/>
        </w:rPr>
        <w:t xml:space="preserve"> городского округа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от « </w:t>
      </w:r>
      <w:r>
        <w:rPr>
          <w:b/>
          <w:sz w:val="28"/>
          <w:szCs w:val="28"/>
        </w:rPr>
        <w:t xml:space="preserve">_</w:t>
      </w:r>
      <w:r>
        <w:rPr>
          <w:b/>
          <w:sz w:val="28"/>
          <w:szCs w:val="28"/>
          <w:u w:val="none"/>
        </w:rPr>
        <w:t xml:space="preserve">____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none"/>
        </w:rPr>
        <w:t xml:space="preserve">___________</w:t>
      </w:r>
      <w:r>
        <w:rPr>
          <w:b/>
          <w:sz w:val="28"/>
          <w:szCs w:val="28"/>
          <w:u w:val="none"/>
        </w:rPr>
        <w:t xml:space="preserve"> </w:t>
      </w:r>
      <w:r>
        <w:rPr>
          <w:b/>
          <w:sz w:val="28"/>
          <w:szCs w:val="28"/>
        </w:rPr>
        <w:t xml:space="preserve"> 2026 г. №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u w:val="none"/>
        </w:rPr>
        <w:t xml:space="preserve">_____</w:t>
      </w:r>
      <w:r>
        <w:rPr>
          <w:b/>
          <w:sz w:val="28"/>
          <w:szCs w:val="28"/>
          <w:u w:val="none"/>
        </w:rPr>
        <w:t xml:space="preserve">_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81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right="0" w:firstLine="0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  <w:t xml:space="preserve">Муниципальная программа </w:t>
      </w:r>
      <w:r>
        <w:rPr>
          <w:b/>
          <w:bCs/>
          <w:sz w:val="28"/>
          <w:szCs w:val="28"/>
          <w:highlight w:val="white"/>
        </w:rPr>
        <w:t xml:space="preserve">Губкинского</w:t>
      </w:r>
      <w:r>
        <w:rPr>
          <w:b/>
          <w:bCs/>
          <w:sz w:val="28"/>
          <w:szCs w:val="28"/>
          <w:highlight w:val="white"/>
        </w:rPr>
        <w:t xml:space="preserve"> городского округа                  Белгородской области «Развитие экономического потенциала                                    и формирование благоприятного предпринимательского климата                             в </w:t>
      </w:r>
      <w:r>
        <w:rPr>
          <w:b/>
          <w:bCs/>
          <w:sz w:val="28"/>
          <w:szCs w:val="28"/>
          <w:highlight w:val="white"/>
        </w:rPr>
        <w:t xml:space="preserve">Губкинском</w:t>
      </w:r>
      <w:r>
        <w:rPr>
          <w:b/>
          <w:bCs/>
          <w:sz w:val="28"/>
          <w:szCs w:val="28"/>
          <w:highlight w:val="white"/>
        </w:rPr>
        <w:t xml:space="preserve"> городском округе Белгородской области»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left="0" w:right="0" w:firstLine="0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  <w:t xml:space="preserve">I. Приоритеты и цели муниципальной политики в сфере реализации муниципальной программы </w:t>
      </w:r>
      <w:r>
        <w:rPr>
          <w:b/>
          <w:bCs/>
          <w:sz w:val="28"/>
          <w:szCs w:val="28"/>
          <w:highlight w:val="white"/>
        </w:rPr>
        <w:t xml:space="preserve">Губкинского</w:t>
      </w:r>
      <w:r>
        <w:rPr>
          <w:b/>
          <w:bCs/>
          <w:sz w:val="28"/>
          <w:szCs w:val="28"/>
          <w:highlight w:val="white"/>
        </w:rPr>
        <w:t xml:space="preserve"> городского округа Белгородской области «Развитие экономического потенциала и формирование благоприятного предпринимательского климата в </w:t>
      </w:r>
      <w:r>
        <w:rPr>
          <w:b/>
          <w:bCs/>
          <w:sz w:val="28"/>
          <w:szCs w:val="28"/>
          <w:highlight w:val="white"/>
        </w:rPr>
        <w:t xml:space="preserve">Губкинском</w:t>
      </w:r>
      <w:r>
        <w:rPr>
          <w:b/>
          <w:bCs/>
          <w:sz w:val="28"/>
          <w:szCs w:val="28"/>
          <w:highlight w:val="white"/>
        </w:rPr>
        <w:t xml:space="preserve"> городском округе Белгородской области»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pStyle w:val="1099"/>
        <w:ind w:left="0" w:right="0" w:firstLine="0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1.1. Оценка текущего состояния социально-экономического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городского округа Белгородской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28" w:lineRule="auto"/>
        <w:rPr>
          <w:color w:val="000000"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="ArialMT"/>
          <w:sz w:val="28"/>
          <w:szCs w:val="28"/>
          <w:highlight w:val="white"/>
        </w:rPr>
        <w:t xml:space="preserve">Губкинский</w:t>
      </w:r>
      <w:r>
        <w:rPr>
          <w:rFonts w:eastAsia="ArialMT"/>
          <w:sz w:val="28"/>
          <w:szCs w:val="28"/>
          <w:highlight w:val="white"/>
        </w:rPr>
        <w:t xml:space="preserve"> городской округ </w:t>
      </w:r>
      <w:r>
        <w:rPr>
          <w:color w:val="000000"/>
          <w:sz w:val="28"/>
          <w:szCs w:val="28"/>
          <w:highlight w:val="white"/>
        </w:rPr>
        <w:t xml:space="preserve">Белгородской области</w:t>
      </w:r>
      <w:r>
        <w:rPr>
          <w:rFonts w:eastAsia="ArialMT"/>
          <w:sz w:val="28"/>
          <w:szCs w:val="28"/>
        </w:rPr>
        <w:t xml:space="preserve"> </w:t>
      </w:r>
      <w:r>
        <w:rPr>
          <w:rFonts w:eastAsia="ArialMT"/>
          <w:sz w:val="28"/>
          <w:szCs w:val="28"/>
          <w:highlight w:val="white"/>
        </w:rPr>
        <w:t xml:space="preserve">является территорией опережающего развития и имеет существенную особенность – </w:t>
      </w:r>
      <w:r>
        <w:rPr>
          <w:rFonts w:eastAsia="ArialMT"/>
          <w:sz w:val="28"/>
          <w:szCs w:val="28"/>
          <w:highlight w:val="white"/>
        </w:rPr>
        <w:t xml:space="preserve">монопрофильную</w:t>
      </w:r>
      <w:r>
        <w:rPr>
          <w:rFonts w:eastAsia="ArialMT"/>
          <w:sz w:val="28"/>
          <w:szCs w:val="28"/>
          <w:highlight w:val="white"/>
        </w:rPr>
        <w:t xml:space="preserve"> экономику.</w:t>
      </w:r>
      <w:r>
        <w:rPr>
          <w:sz w:val="28"/>
          <w:szCs w:val="28"/>
          <w:highlight w:val="white"/>
        </w:rPr>
        <w:t xml:space="preserve"> Социально-экономическое положение городского округа напрямую зависит от результатов деятельности градообразующего предприятия горно-металлургического комплекса – АО «Лебединский ГОК» и предприятий, связанных с ним технологическими процессами.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i/>
          <w:color w:val="ff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2023 году объем отгруженных товаров собственного производства, выполненных работ и услуг собственными силами по промышленным видам деятельности составил 212,9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рублей, (96,1% к уровню 2022), в том числе по видам экономической деятельности «добыча полезных ископаемых» -                       95,7 млрд руб. (100,4% к уровню 2022 года), «обрабатывающие производства» - 115,0 млрд руб. (95,8%).  </w:t>
      </w:r>
      <w:r>
        <w:rPr>
          <w:i/>
          <w:color w:val="ff0000"/>
          <w:sz w:val="28"/>
          <w:szCs w:val="28"/>
          <w:highlight w:val="white"/>
        </w:rPr>
      </w:r>
      <w:r>
        <w:rPr>
          <w:i/>
          <w:color w:val="ff0000"/>
          <w:sz w:val="28"/>
          <w:szCs w:val="28"/>
          <w:highlight w:val="white"/>
        </w:rPr>
      </w:r>
    </w:p>
    <w:p>
      <w:pPr>
        <w:pStyle w:val="1102"/>
        <w:rPr>
          <w:szCs w:val="28"/>
          <w:highlight w:val="white"/>
        </w:rPr>
      </w:pPr>
      <w:r>
        <w:rPr>
          <w:szCs w:val="28"/>
          <w:highlight w:val="white"/>
        </w:rPr>
        <w:t xml:space="preserve">В 2023 году индекс физического объема оборота розничной торговли находился на уровне 101,9%, оборота общественного питания – 101,7%.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 xml:space="preserve">В 2023 году освоено 27,5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 инвестиций в основной капитал или 95,7% к </w:t>
      </w:r>
      <w:r>
        <w:rPr>
          <w:sz w:val="28"/>
          <w:szCs w:val="28"/>
          <w:highlight w:val="white"/>
        </w:rPr>
        <w:t xml:space="preserve">уровню 2022 года в сопоставимых ценах. Снижение индекса физического объема инвестиций в основной капитал связано с эффектом высокой базы прошлого года, а также с переходом в стадию завершения отдельных крупных инвестиционных проектов и приостановкой новых </w:t>
      </w:r>
      <w:r>
        <w:rPr>
          <w:sz w:val="28"/>
          <w:szCs w:val="28"/>
          <w:highlight w:val="white"/>
        </w:rPr>
        <w:t xml:space="preserve">инвестпроектов</w:t>
      </w:r>
      <w:r>
        <w:rPr>
          <w:sz w:val="28"/>
          <w:szCs w:val="28"/>
          <w:highlight w:val="white"/>
        </w:rPr>
        <w:t xml:space="preserve"> в промышленности.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2023 году на АО «Лебединский ГОК» в рамках реализации проекта по созданию нового </w:t>
      </w:r>
      <w:r>
        <w:rPr>
          <w:sz w:val="28"/>
          <w:szCs w:val="28"/>
          <w:highlight w:val="white"/>
        </w:rPr>
        <w:t xml:space="preserve">хвостохранилища</w:t>
      </w:r>
      <w:r>
        <w:rPr>
          <w:sz w:val="28"/>
          <w:szCs w:val="28"/>
          <w:highlight w:val="white"/>
        </w:rPr>
        <w:t xml:space="preserve"> в балке </w:t>
      </w:r>
      <w:r>
        <w:rPr>
          <w:sz w:val="28"/>
          <w:szCs w:val="28"/>
          <w:highlight w:val="white"/>
        </w:rPr>
        <w:t xml:space="preserve">Дубенка</w:t>
      </w:r>
      <w:r>
        <w:rPr>
          <w:sz w:val="28"/>
          <w:szCs w:val="28"/>
          <w:highlight w:val="white"/>
        </w:rPr>
        <w:t xml:space="preserve"> введен в эксплуатацию первый объект нового </w:t>
      </w:r>
      <w:r>
        <w:rPr>
          <w:sz w:val="28"/>
          <w:szCs w:val="28"/>
          <w:highlight w:val="white"/>
        </w:rPr>
        <w:t xml:space="preserve">хвостохранилища</w:t>
      </w:r>
      <w:r>
        <w:rPr>
          <w:sz w:val="28"/>
          <w:szCs w:val="28"/>
          <w:highlight w:val="white"/>
        </w:rPr>
        <w:t xml:space="preserve"> – высокотехнологичный аппарат, необходимый для сгущения пульпы, удаления из нее мелких частиц </w:t>
      </w:r>
      <w:r>
        <w:rPr>
          <w:sz w:val="28"/>
          <w:szCs w:val="28"/>
          <w:highlight w:val="white"/>
        </w:rPr>
        <w:t xml:space="preserve">раздробленных руд и осветления технологической воды.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рамках проекта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реконструкция</w:t>
      </w:r>
      <w:r>
        <w:rPr>
          <w:sz w:val="28"/>
          <w:szCs w:val="28"/>
          <w:highlight w:val="white"/>
        </w:rPr>
        <w:t xml:space="preserve"> обжиговых машин № 1-3 ведется</w:t>
      </w:r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строительство электрофильтров на первой и третьей обжиговых машинах.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2023 году на АО «Комбинат </w:t>
      </w:r>
      <w:r>
        <w:rPr>
          <w:sz w:val="28"/>
          <w:szCs w:val="28"/>
          <w:highlight w:val="white"/>
        </w:rPr>
        <w:t xml:space="preserve">КМАруда</w:t>
      </w:r>
      <w:r>
        <w:rPr>
          <w:sz w:val="28"/>
          <w:szCs w:val="28"/>
          <w:highlight w:val="white"/>
        </w:rPr>
        <w:t xml:space="preserve">» начались пуско-наладочные работы оборудования новой шахты.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территории опережающего развития «Губкин» зарегистрировано                33 резидента. Инвестиционный портфель напол</w:t>
      </w:r>
      <w:r>
        <w:rPr>
          <w:sz w:val="28"/>
          <w:szCs w:val="28"/>
          <w:highlight w:val="white"/>
        </w:rPr>
        <w:t xml:space="preserve">нен проектами в общей сумме инвестиций около 8 млрд. рублей. В результате реализации проектов будет создано 1722 новых рабочих места. Фактически резидентами созданы                    1193 постоянных рабочих места и освоено инвестиций на 5,3 млрд. рублей.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sz w:val="28"/>
          <w:szCs w:val="28"/>
          <w:highlight w:val="white"/>
        </w:rPr>
        <w:t xml:space="preserve">В 2023 году оборот розничной торговли составил  </w:t>
      </w:r>
      <w:r>
        <w:rPr>
          <w:sz w:val="28"/>
          <w:szCs w:val="28"/>
          <w:highlight w:val="white"/>
        </w:rPr>
        <w:br/>
        <w:t xml:space="preserve">31,5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рублей, что составило в сопоставимых ценах к 2022 году 101,7%. Оборот общественного питания составил 0,8 млрд рублей, объем платных услуг населению - 4,8 млрд рублей</w:t>
      </w:r>
      <w:r>
        <w:rPr>
          <w:sz w:val="28"/>
          <w:szCs w:val="28"/>
          <w:highlight w:val="white"/>
          <w:shd w:val="clear" w:color="auto" w:fill="ffffff"/>
        </w:rPr>
        <w:t xml:space="preserve">.</w:t>
      </w:r>
      <w:r>
        <w:rPr>
          <w:sz w:val="28"/>
          <w:szCs w:val="28"/>
          <w:highlight w:val="white"/>
          <w:shd w:val="clear" w:color="auto" w:fill="ffffff"/>
        </w:rPr>
      </w:r>
      <w:r>
        <w:rPr>
          <w:sz w:val="28"/>
          <w:szCs w:val="28"/>
          <w:highlight w:val="white"/>
          <w:shd w:val="clear" w:color="auto" w:fill="ffffff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 xml:space="preserve">Администрацией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постоянно наряду с другими вопросами местного значения большое внимание у</w:t>
      </w:r>
      <w:r>
        <w:rPr>
          <w:sz w:val="28"/>
          <w:szCs w:val="28"/>
          <w:highlight w:val="white"/>
        </w:rPr>
        <w:t xml:space="preserve">деляется содействию развития малого и среднего предпринимательства, что способствует повышению уровня занятости экономически активного населения, насыщению потребительского рынка товарами и услугами, повышению налоговых поступлений в бюджеты всех уровней.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По состоянию на 10 января 2024 года на территории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осуществляли деятельность 2663 субъекта малого и среднего предпринимательства, из них 2139 индивидуальных предпринимателей и </w:t>
      </w:r>
      <w:r>
        <w:rPr>
          <w:sz w:val="28"/>
          <w:szCs w:val="28"/>
          <w:highlight w:val="white"/>
        </w:rPr>
        <w:br/>
        <w:t xml:space="preserve">524 юридических лица.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В сфере малого и среднего предпринимательства высокой является доля организаций оптовой и розничной торговли. Приоритетным направлением для городского округа является развитие малого и среднего предпринимательства (далее - МСП) производст</w:t>
      </w:r>
      <w:r>
        <w:rPr>
          <w:sz w:val="28"/>
          <w:szCs w:val="28"/>
          <w:highlight w:val="white"/>
        </w:rPr>
        <w:t xml:space="preserve">венных видов деятельности. Одновременно с этим требуют развития сферы оказания услуг социальной направленности, создание и развитие объектов в сфере туризма, инновационных предприятий, осуществляющих свою деятельность в сфере IT-технологий и других сферах.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Среднесписочная численность работающих в малом и среднем бизнесе по состоянию на 01.01.2024 составила 12 266 человек. Доля </w:t>
      </w:r>
      <w:r>
        <w:rPr>
          <w:sz w:val="28"/>
          <w:szCs w:val="28"/>
          <w:highlight w:val="white"/>
        </w:rPr>
        <w:t xml:space="preserve">занятых</w:t>
      </w:r>
      <w:r>
        <w:rPr>
          <w:sz w:val="28"/>
          <w:szCs w:val="28"/>
          <w:highlight w:val="white"/>
        </w:rPr>
        <w:t xml:space="preserve"> в малом и среднем бизнесе, включая ИП, в общей численности занятых составила 28,5%.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Оборот малых и средних предприятий за 2023 год составил 24,136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</w:rPr>
        <w:t xml:space="preserve">Поддержка субъектов малого и среднего предпринимательства, в соответствии со статьей 16 Федерального закона от 24 июля 2007 года № 209-ФЗ «О развитии малого и среднего предпринимательства в Российской Федерации», включает в себя </w:t>
      </w:r>
      <w:r>
        <w:rPr>
          <w:sz w:val="28"/>
          <w:szCs w:val="28"/>
          <w:highlight w:val="white"/>
        </w:rPr>
        <w:t xml:space="preserve">финансо</w:t>
      </w:r>
      <w:r>
        <w:rPr>
          <w:sz w:val="28"/>
          <w:szCs w:val="28"/>
          <w:highlight w:val="white"/>
        </w:rPr>
        <w:t xml:space="preserve">вую, имущественную, информационную, консультационную, образовательную поддержку, а также поддержку в области инноваций и промышленного производства, поддержку субъектов малого и среднего предпринимательства, осуществляющих внешнеэкономическую деятельность.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постоянной основе в администрации городского округа осуществляется </w:t>
      </w:r>
      <w:r>
        <w:rPr>
          <w:sz w:val="28"/>
          <w:szCs w:val="28"/>
          <w:highlight w:val="white"/>
        </w:rPr>
        <w:t xml:space="preserve">консультационно-разъяснительная работа, охватывающая широкий спектр вопрос</w:t>
      </w:r>
      <w:r>
        <w:rPr>
          <w:sz w:val="28"/>
          <w:szCs w:val="28"/>
          <w:highlight w:val="white"/>
        </w:rPr>
        <w:t xml:space="preserve">ов, возникающих у малого и среднего бизнеса. По состоянию на 01.01.2024 консультационная помощь по вопросам организации, поддержки и развития предпринимательской деятельности субъектам малого и среднего предпринимательства оказана в количестве 341 единицы.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68"/>
        <w:jc w:val="both"/>
        <w:spacing w:line="228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Уровень развития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имущественно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68"/>
        <w:jc w:val="both"/>
        <w:spacing w:line="228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Повышение эффективности управления и распоряжения собственностью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городского округа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является                               важной стратегической целью проведения муниципальной политики                      в сфере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имущественно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-земельных отношений для обеспечения                               устойчивого социально-экономического развития территории. В условиях недостаточной налоговой базы бюджета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городского                            округа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муниципальная собственность стала                                играть все возрастающую роль в финансовом обеспечении                              деятельности органов местного самоуправления.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Улучшению условий и охраны труда, сохранению здоровья                               работающего населения на территории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уделяется большое внимание. Неблагоприятные условия труда, производственный травматизм приводят к серьезным экономическим потерям, отрицательно влияют на состояние рынка труда, способствуют ухудшению демографической ситуации.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общей структуре причин несчастных случаев на производстве                         более 70 процентов вызваны типичными причинами организационного характера: нарушения требований безопасности</w:t>
      </w:r>
      <w:r>
        <w:rPr>
          <w:sz w:val="28"/>
          <w:szCs w:val="28"/>
          <w:highlight w:val="white"/>
        </w:rPr>
        <w:t xml:space="preserve">, неудовлетворительная организация производства работ, недостатки в обучении работников безопасности труда, нарушения трудовой дисциплины. По-прежнему велика доля морально и физически устаревшего оборудования, не соответствующего требованиям безопасности.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Основные принципы обеспечения безопасности труда закреплены </w:t>
      </w:r>
      <w:r>
        <w:rPr>
          <w:bCs/>
          <w:sz w:val="28"/>
          <w:szCs w:val="28"/>
          <w:highlight w:val="white"/>
        </w:rPr>
        <w:t xml:space="preserve">законодательно и включают меры по предупреждению и профилактике опасностей и минимизацию рисков.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Реализация структурных элементов муниципальной программы </w:t>
      </w:r>
      <w:r>
        <w:rPr>
          <w:bCs/>
          <w:sz w:val="28"/>
          <w:szCs w:val="28"/>
          <w:highlight w:val="white"/>
        </w:rPr>
        <w:t xml:space="preserve">позволит обеспечить достижение цели и решение поставленных задач за счет концентрации </w:t>
      </w:r>
      <w:r>
        <w:rPr>
          <w:sz w:val="28"/>
          <w:szCs w:val="28"/>
          <w:highlight w:val="white"/>
        </w:rPr>
        <w:t xml:space="preserve">и координации финансовых, имущественных и организационных ресурсов</w:t>
      </w:r>
      <w:r>
        <w:rPr>
          <w:bCs/>
          <w:sz w:val="28"/>
          <w:szCs w:val="28"/>
          <w:highlight w:val="white"/>
        </w:rPr>
        <w:t xml:space="preserve">, увязки сроков реализации мероприятий и объемов их финансирования с ожидаемыми результатами, а также будет являться важным инструментом увеличения экономического потенциала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</w:t>
      </w:r>
      <w:r>
        <w:rPr>
          <w:bCs/>
          <w:sz w:val="28"/>
          <w:szCs w:val="28"/>
          <w:highlight w:val="white"/>
        </w:rPr>
        <w:t xml:space="preserve">округа Белгородской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bCs/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099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1.2. Описание приоритетов и целей муниципальной политики                           в сфере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28" w:lineRule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28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целях достижения стратегических приоритетов муниципальной политики социально-экономического развития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Белгородской области </w:t>
      </w:r>
      <w:r>
        <w:rPr>
          <w:sz w:val="28"/>
          <w:szCs w:val="28"/>
          <w:highlight w:val="white"/>
        </w:rPr>
        <w:t xml:space="preserve">разработана структура  и система показателей муниципальной программы: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Цель 1. </w:t>
      </w:r>
      <w:r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условий для формирования культуры безопасного                        труда и повышение эффективности мер, направленных на сохранение                      жизни и здоровья работников в процессе трудовой деятельности                                       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Белгородской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Для достижения указанной цели в структуру муниципальной                    программы включено направление - «Улучшение условий и охран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                                 труда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Белгородской области»,                               которое предусматривает реализацию комплекса процессных мероприятий «Улучшение условий и охран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труда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 городском округе Белгородской области».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Повышение эффективности муниципального управления                                в сфере имущественных и земельных отношений на территории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Для достижения указанной цели в структуру муниципальной                       программы включено направление - «Управление земельными                                  ресурсами и имуществом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                                Белгородской области», которое предусматривает реализацию                                                   двух комплексов процессных мероприятий:  «Управление земельными ресурсами и имуществом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                                                   округа Белгородской области», «Обеспечение реализации муниципальной программы».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Формирование благоприятных условий для                                    привлечения инвестиций в экономику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                                округа Белгородской области и повышение инвестиционной активности  бизнеса.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Для достижения указанной цели в структуру муниципальной                        программы включено направление - «Улучшение инвестиционного                           климата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</w:t>
      </w:r>
      <w:r>
        <w:rPr>
          <w:sz w:val="28"/>
          <w:szCs w:val="28"/>
          <w:highlight w:val="white"/>
        </w:rPr>
        <w:t xml:space="preserve">елгородской области»,                            которое предусматривает реализацию комплекса процессных                              мероприятий «Реализация мероприятий по привлечению инвестиций                                    и работе с инвесторами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Белгородской                 области».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Цель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. Создание благоприятных условий для устойчивого развития малого и среднего предпринимательства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Белгородской области.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Для достижения указанной цели в структуру муниципальной                         программы включено направление - «</w:t>
      </w:r>
      <w:r>
        <w:rPr>
          <w:sz w:val="28"/>
          <w:szCs w:val="28"/>
          <w:highlight w:val="white"/>
        </w:rPr>
        <w:t xml:space="preserve">Развитие и поддержка малого и                   </w:t>
      </w:r>
      <w:r>
        <w:rPr>
          <w:sz w:val="28"/>
          <w:szCs w:val="28"/>
          <w:highlight w:val="white"/>
        </w:rPr>
        <w:t xml:space="preserve">среднего предпринимательства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                      Белгородской области», которое предусматривает реализацию комплекса процессных мероприятий «Элементы устойчивого развития </w:t>
      </w:r>
      <w:r>
        <w:rPr>
          <w:sz w:val="28"/>
          <w:szCs w:val="28"/>
          <w:highlight w:val="white"/>
        </w:rPr>
        <w:t xml:space="preserve">малого и среднего предпринимательства</w:t>
      </w:r>
      <w:r>
        <w:rPr>
          <w:sz w:val="28"/>
          <w:szCs w:val="28"/>
          <w:highlight w:val="white"/>
        </w:rPr>
        <w:t xml:space="preserve">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Белгородской области».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1099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1.3. Сведения о взаимосвязи с национальными целями,                                 со стратегическими приоритетами, целями и показателями государственных программ Белгородской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1099"/>
        <w:ind w:firstLine="709"/>
        <w:jc w:val="both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  <w:t xml:space="preserve">Приоритеты, цели и показатели муниципальной программы «Развитие экономического потенциала и формирование благоприятного предпринимательского климата в </w:t>
      </w:r>
      <w:r>
        <w:rPr>
          <w:color w:val="000000"/>
          <w:sz w:val="28"/>
          <w:szCs w:val="28"/>
          <w:highlight w:val="white"/>
        </w:rPr>
        <w:t xml:space="preserve">Губкинском</w:t>
      </w:r>
      <w:r>
        <w:rPr>
          <w:color w:val="000000"/>
          <w:sz w:val="28"/>
          <w:szCs w:val="28"/>
          <w:highlight w:val="white"/>
        </w:rPr>
        <w:t xml:space="preserve"> городском округе                 Белгородской области» сформированы с учетом государственных прогр</w:t>
      </w:r>
      <w:r>
        <w:rPr>
          <w:color w:val="000000"/>
          <w:sz w:val="28"/>
          <w:szCs w:val="28"/>
          <w:highlight w:val="white"/>
        </w:rPr>
        <w:t xml:space="preserve">амм Белгородской области: «Содействие занятости населен</w:t>
      </w:r>
      <w:r>
        <w:rPr>
          <w:color w:val="000000"/>
          <w:sz w:val="28"/>
          <w:szCs w:val="28"/>
          <w:highlight w:val="white"/>
        </w:rPr>
        <w:t xml:space="preserve">ия Белгородской области», </w:t>
      </w:r>
      <w:r>
        <w:rPr>
          <w:color w:val="000000"/>
          <w:sz w:val="28"/>
          <w:szCs w:val="28"/>
          <w:highlight w:val="white"/>
        </w:rPr>
        <w:t xml:space="preserve">утвержденной постановлением Правительства Белгородской области</w:t>
      </w:r>
      <w:r>
        <w:rPr>
          <w:color w:val="000000"/>
          <w:sz w:val="28"/>
          <w:szCs w:val="28"/>
          <w:highlight w:val="none"/>
        </w:rPr>
        <w:t xml:space="preserve"> от 25.12.2023 № 767-пп, </w:t>
      </w:r>
      <w:r>
        <w:rPr>
          <w:color w:val="000000"/>
          <w:sz w:val="28"/>
          <w:szCs w:val="28"/>
          <w:highlight w:val="white"/>
        </w:rPr>
        <w:t xml:space="preserve">«Развитие экономического потенциала и формирование благоприятного предпринимательского климата в Белгородской области» утвержденной постановлением Правительства Белгородской области                          от 25.12.2023 № 750-пп.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Достижение намеченных целей муниципальной программы определяет следующие целевые показатели: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тысячу работающих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темп роста объема инвестиций субъектов МСП в основной капитал;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оборот субъектов МСП;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1072"/>
        <w:numPr>
          <w:ilvl w:val="0"/>
          <w:numId w:val="31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численность занятых в сфере малого и среднего предпринимательства, включая индивидуальных предпринимателей и </w:t>
      </w:r>
      <w:r>
        <w:rPr>
          <w:rFonts w:ascii="Times New Roman" w:hAnsi="Times New Roman"/>
          <w:sz w:val="28"/>
          <w:szCs w:val="28"/>
          <w:highlight w:val="white"/>
        </w:rPr>
        <w:t xml:space="preserve">самозанятых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Методика расчета целевых показателей приведена в приложении к муниципальной программе.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99"/>
        <w:ind w:firstLine="709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r>
    </w:p>
    <w:p>
      <w:pPr>
        <w:pStyle w:val="1099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1.4. Задачи муниципального управления, способы их эффективного решения в сфере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Мероприятия муниципальной программы направлены на решение основных задач, установленных в структурных элементах.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По направлениям программы </w:t>
      </w:r>
      <w:r>
        <w:rPr>
          <w:color w:val="000000"/>
          <w:sz w:val="28"/>
          <w:szCs w:val="28"/>
          <w:highlight w:val="white"/>
        </w:rPr>
        <w:t xml:space="preserve">«Развитие экономического потенциала и формирование благоприятного предпринимательского климата в Губкинском городском округе Белгородской области»</w:t>
      </w:r>
      <w:r>
        <w:rPr>
          <w:sz w:val="28"/>
          <w:szCs w:val="28"/>
          <w:highlight w:val="none"/>
        </w:rPr>
        <w:t xml:space="preserve"> определены ключевые задачи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1. </w:t>
      </w:r>
      <w:r>
        <w:rPr>
          <w:sz w:val="28"/>
          <w:szCs w:val="28"/>
        </w:rPr>
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Развитие инфраструктуры объектов муниципальной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Исполнение муниципальных функций (оказание муниципальных услуг) исполнительными органами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собственностью, по кадастровой деятельности, землеустройству и землепользованию.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110" w:firstLine="709"/>
        <w:jc w:val="both"/>
        <w:spacing w:line="259" w:lineRule="auto"/>
      </w:pPr>
      <w:r>
        <w:rPr>
          <w:color w:val="000000" w:themeColor="text1"/>
          <w:sz w:val="28"/>
          <w:szCs w:val="28"/>
          <w:highlight w:val="white"/>
        </w:rPr>
        <w:t xml:space="preserve">4. </w:t>
      </w:r>
      <w:r>
        <w:rPr>
          <w:color w:val="000000" w:themeColor="text1"/>
          <w:sz w:val="28"/>
          <w:szCs w:val="28"/>
          <w:highlight w:val="white"/>
        </w:rPr>
        <w:t xml:space="preserve">Формирование благоприятных условий для привлечения инвестиций в экономику </w:t>
      </w:r>
      <w:r>
        <w:rPr>
          <w:color w:val="000000" w:themeColor="text1"/>
          <w:sz w:val="28"/>
          <w:szCs w:val="28"/>
          <w:highlight w:val="white"/>
        </w:rPr>
        <w:t xml:space="preserve">Губкинского</w:t>
      </w:r>
      <w:r>
        <w:rPr>
          <w:color w:val="000000" w:themeColor="text1"/>
          <w:sz w:val="28"/>
          <w:szCs w:val="28"/>
          <w:highlight w:val="white"/>
        </w:rPr>
        <w:t xml:space="preserve"> городского округа Белгородской области.</w:t>
      </w:r>
      <w:r/>
    </w:p>
    <w:p>
      <w:pPr>
        <w:ind w:right="110" w:firstLine="709"/>
        <w:jc w:val="both"/>
        <w:spacing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  <w:highlight w:val="white"/>
        </w:rPr>
        <w:t xml:space="preserve">. Популяризация предпринимательской деятельности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  <w:highlight w:val="white"/>
        </w:rPr>
        <w:t xml:space="preserve">. Создание условий для вовлечения граждан в предпринимательскую деятельность и комфортного ведения бизнеса.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709"/>
        <w:jc w:val="both"/>
        <w:spacing w:line="17" w:lineRule="atLeast"/>
        <w:rPr>
          <w:b/>
          <w:bCs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  <w:t xml:space="preserve">В рамках реализации </w:t>
      </w:r>
      <w:r>
        <w:rPr>
          <w:sz w:val="28"/>
          <w:szCs w:val="28"/>
          <w:highlight w:val="white"/>
        </w:rPr>
        <w:t xml:space="preserve">структурных элементов муниципальной программы </w:t>
      </w:r>
      <w:r>
        <w:rPr>
          <w:color w:val="000000"/>
          <w:sz w:val="28"/>
          <w:szCs w:val="28"/>
        </w:rPr>
        <w:t xml:space="preserve">                 (приложения </w:t>
      </w:r>
      <w:r>
        <w:rPr>
          <w:color w:val="000000"/>
          <w:sz w:val="28"/>
          <w:szCs w:val="28"/>
          <w:highlight w:val="white"/>
        </w:rPr>
        <w:t xml:space="preserve">1-6), предусмотрен ряд мероприятий, которые будут способствовать развитию экономического и инвестиционного потенциала, формированию благоприятного предпринимательского климата в </w:t>
      </w:r>
      <w:r>
        <w:rPr>
          <w:color w:val="000000"/>
          <w:sz w:val="28"/>
          <w:szCs w:val="28"/>
          <w:highlight w:val="white"/>
        </w:rPr>
        <w:t xml:space="preserve">Губкинском</w:t>
      </w:r>
      <w:r>
        <w:rPr>
          <w:color w:val="000000"/>
          <w:sz w:val="28"/>
          <w:szCs w:val="28"/>
          <w:highlight w:val="white"/>
        </w:rPr>
        <w:t xml:space="preserve"> городском округе Белгородской области.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Мероприятия муниципальной программы и подпрограмм, источники и объемы их финансирования подлежат ежегодному уточне</w:t>
      </w:r>
      <w:r>
        <w:rPr>
          <w:sz w:val="28"/>
          <w:szCs w:val="28"/>
        </w:rPr>
        <w:t xml:space="preserve">нию с учетом прогнозируемых объемов финансовых ресурсов, </w:t>
      </w:r>
      <w:r>
        <w:rPr>
          <w:bCs/>
          <w:sz w:val="28"/>
          <w:szCs w:val="28"/>
        </w:rPr>
        <w:t xml:space="preserve">достигнутых результатов в предшествующий период реализации муниципальной программы.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erReference w:type="default" r:id="rId13"/>
          <w:footnotePr/>
          <w:endnotePr/>
          <w:type w:val="continuous"/>
          <w:pgSz w:w="11909" w:h="16834" w:orient="portrait"/>
          <w:pgMar w:top="1134" w:right="567" w:bottom="1134" w:left="1588" w:header="454" w:footer="709" w:gutter="0"/>
          <w:cols w:num="1" w:sep="0" w:space="60" w:equalWidth="1"/>
          <w:docGrid w:linePitch="360"/>
          <w:titlePg/>
        </w:sect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3"/>
        <w:jc w:val="center"/>
        <w:widowControl/>
        <w:rPr>
          <w:b/>
          <w:sz w:val="22"/>
          <w:szCs w:val="22"/>
        </w:rPr>
      </w:pPr>
      <w:r>
        <w:rPr>
          <w:b/>
          <w:sz w:val="22"/>
          <w:szCs w:val="22"/>
          <w:lang w:eastAsia="en-US"/>
        </w:rPr>
        <w:t xml:space="preserve">                                       </w:t>
      </w:r>
      <w:r>
        <w:rPr>
          <w:b/>
          <w:bCs/>
          <w:sz w:val="24"/>
          <w:szCs w:val="24"/>
        </w:rPr>
        <w:t xml:space="preserve">I. Паспорт</w:t>
      </w:r>
      <w:r>
        <w:rPr>
          <w:b/>
          <w:sz w:val="24"/>
          <w:szCs w:val="24"/>
        </w:rPr>
        <w:t xml:space="preserve"> муниципальной программы </w:t>
      </w:r>
      <w:r>
        <w:rPr>
          <w:b/>
          <w:sz w:val="24"/>
          <w:szCs w:val="24"/>
        </w:rPr>
        <w:t xml:space="preserve">Губкинского</w:t>
      </w:r>
      <w:r>
        <w:rPr>
          <w:b/>
          <w:sz w:val="24"/>
          <w:szCs w:val="24"/>
        </w:rPr>
        <w:t xml:space="preserve"> городского округа Белгородской области                                       «</w:t>
      </w:r>
      <w:r>
        <w:rPr>
          <w:b/>
          <w:bCs/>
          <w:sz w:val="24"/>
          <w:szCs w:val="24"/>
        </w:rPr>
        <w:t xml:space="preserve">Развитие экономического потенциала и формирование благоприятного предпринимательского климата                                                                     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</w:t>
      </w:r>
      <w:r>
        <w:rPr>
          <w:b/>
          <w:sz w:val="24"/>
          <w:szCs w:val="24"/>
        </w:rPr>
        <w:t xml:space="preserve">»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(далее – муниципальная программа)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Основные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94" w:type="pct"/>
        <w:tblInd w:w="-5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9051"/>
        <w:gridCol w:w="3139"/>
      </w:tblGrid>
      <w:tr>
        <w:tblPrEx/>
        <w:trPr>
          <w:cantSplit/>
          <w:trHeight w:val="7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textDirection w:val="lrTb"/>
            <w:noWrap w:val="false"/>
          </w:tcPr>
          <w:p>
            <w:pPr>
              <w:ind w:left="142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Куратор муниципальной программы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left="142" w:right="204" w:firstLine="141"/>
              <w:spacing w:before="120" w:after="120"/>
              <w:tabs>
                <w:tab w:val="left" w:pos="12189" w:leader="none"/>
              </w:tabs>
              <w:rPr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color w:val="000000" w:themeColor="text1"/>
                <w:sz w:val="24"/>
                <w:szCs w:val="24"/>
              </w:rPr>
              <w:t xml:space="preserve">Заместитель главы администрации по инвестиционной политике и экономическому развитию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textDirection w:val="lrTb"/>
            <w:noWrap w:val="false"/>
          </w:tcPr>
          <w:p>
            <w:pPr>
              <w:ind w:left="142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>
              <w:rPr>
                <w:sz w:val="24"/>
                <w:szCs w:val="24"/>
              </w:rPr>
              <w:br/>
              <w:t xml:space="preserve">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left="142" w:right="204" w:firstLine="141"/>
              <w:jc w:val="both"/>
              <w:keepLines/>
              <w:spacing w:before="120" w:after="120"/>
              <w:tabs>
                <w:tab w:val="left" w:pos="12189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Управление экономики и ценовой политики администрации Губкинского городского округа, начальник управления экономики и ценовой политики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реализации 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left="142" w:right="204" w:firstLine="141"/>
              <w:spacing w:before="120" w:after="120"/>
              <w:tabs>
                <w:tab w:val="left" w:pos="12189" w:leader="none"/>
              </w:tabs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2025-2030 </w:t>
            </w:r>
            <w:r>
              <w:rPr>
                <w:strike/>
                <w:color w:val="000000" w:themeColor="text1"/>
                <w:sz w:val="24"/>
                <w:szCs w:val="24"/>
              </w:rPr>
            </w:r>
            <w:r>
              <w:rPr>
                <w:strike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2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1. </w:t>
            </w:r>
            <w:r>
              <w:rPr>
                <w:sz w:val="24"/>
                <w:szCs w:val="24"/>
              </w:rPr>
              <w:t xml:space="preserve">Создание условий для формирования культуры безопасного </w:t>
            </w:r>
            <w:r>
              <w:rPr>
                <w:sz w:val="24"/>
                <w:szCs w:val="24"/>
              </w:rPr>
              <w:t xml:space="preserve">труда и повышение                                     эффективности мер, направленных на сохранение жизни и здоровья работников                                                                   в      процессе      трудовой      деятельности      в       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      городском      округе       Белгородской области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2. </w:t>
            </w:r>
            <w:r>
              <w:rPr>
                <w:sz w:val="24"/>
                <w:szCs w:val="24"/>
              </w:rPr>
              <w:t xml:space="preserve">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3. </w:t>
            </w:r>
            <w:r>
              <w:rPr>
                <w:sz w:val="24"/>
                <w:szCs w:val="24"/>
              </w:rPr>
              <w:t xml:space="preserve">Формирование благоприятных условий для привлечения инвестиций в экономику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 и повышение инвестиционной активности бизнеса.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4. </w:t>
            </w:r>
            <w:r>
              <w:rPr>
                <w:sz w:val="24"/>
                <w:szCs w:val="24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</w:t>
            </w:r>
            <w:r>
              <w:rPr>
                <w:sz w:val="24"/>
                <w:szCs w:val="24"/>
              </w:rPr>
              <w:t xml:space="preserve">ком округе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(подпрограммы) 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1 </w:t>
            </w:r>
            <w:r>
              <w:rPr>
                <w:sz w:val="24"/>
                <w:szCs w:val="24"/>
              </w:rPr>
              <w:t xml:space="preserve">«Улучшение условий и охран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труда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2 </w:t>
            </w:r>
            <w:r>
              <w:rPr>
                <w:sz w:val="24"/>
                <w:szCs w:val="24"/>
              </w:rPr>
              <w:t xml:space="preserve">«Управление земельными ресурсами и имуществом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3 </w:t>
            </w:r>
            <w:r>
              <w:rPr>
                <w:sz w:val="24"/>
                <w:szCs w:val="24"/>
              </w:rPr>
              <w:t xml:space="preserve">«Улучшение инвестиционного климата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области».</w:t>
            </w:r>
            <w: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4 </w:t>
            </w:r>
            <w:r>
              <w:rPr>
                <w:sz w:val="24"/>
                <w:szCs w:val="24"/>
              </w:rPr>
              <w:t xml:space="preserve">«Развитие и поддержка малого и среднего предпринимательства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 xml:space="preserve">ом округе Белгородской области»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Merge w:val="restart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</w:t>
            </w:r>
            <w:r>
              <w:rPr>
                <w:sz w:val="24"/>
                <w:szCs w:val="24"/>
              </w:rPr>
              <w:t xml:space="preserve">обеспечения за весь период реализации, в том числе по источникам финансирования: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по муниципальной программе - </w:t>
            </w:r>
            <w:r>
              <w:rPr>
                <w:sz w:val="24"/>
                <w:szCs w:val="24"/>
                <w:highlight w:val="none"/>
              </w:rPr>
              <w:t xml:space="preserve">37 443,0 </w:t>
            </w:r>
            <w:r>
              <w:rPr>
                <w:sz w:val="24"/>
                <w:szCs w:val="24"/>
              </w:rPr>
              <w:t xml:space="preserve">тыс. рублей,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51" w:type="dxa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финансового обеспечения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9" w:type="dxa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финансового обеспечения, тыс.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5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9" w:type="dxa"/>
            <w:textDirection w:val="lrTb"/>
            <w:noWrap w:val="false"/>
          </w:tcPr>
          <w:p>
            <w:pPr>
              <w:ind w:right="204"/>
              <w:tabs>
                <w:tab w:val="left" w:pos="1218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             37 443,0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5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9" w:type="dxa"/>
            <w:textDirection w:val="lrTb"/>
            <w:noWrap w:val="false"/>
          </w:tcPr>
          <w:p>
            <w:pPr>
              <w:jc w:val="center"/>
              <w:tabs>
                <w:tab w:val="left" w:pos="12189" w:leader="none"/>
              </w:tabs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      0,0</w:t>
            </w: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</w:p>
        </w:tc>
      </w:tr>
      <w:tr>
        <w:tblPrEx/>
        <w:trPr>
          <w:trHeight w:val="41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5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9" w:type="dxa"/>
            <w:textDirection w:val="lrTb"/>
            <w:noWrap w:val="false"/>
          </w:tcPr>
          <w:p>
            <w:pPr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5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9" w:type="dxa"/>
            <w:textDirection w:val="lrTb"/>
            <w:noWrap w:val="false"/>
          </w:tcPr>
          <w:p>
            <w:pPr>
              <w:ind w:right="204"/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5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textDirection w:val="lrTb"/>
            <w:noWrap w:val="false"/>
          </w:tcPr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Государственная прогр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амма Белгородской области «Содействие занятости населен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ия Белгородской области»/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оказатель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«Численность пострадавших в результате несчастных случаев на производстве со смертельным исходом в расчете на 1 тыс. работающих»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Государственная прогр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амма Белгородской области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«Развитие экономического потенциала и формирование благоприятного предпринимательского климата в Белгородской области»/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Показатель 1 «Доля площади земельных участков, расположенных на территории Белгородской области и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Федерации»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Показатель 2 «Т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бюджета»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Показатель 3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«Численность занятых в сфере малого и среднего предпринимательства, включая индивидуальных предпринимателей и самозанятых»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7" w:type="dxa"/>
            <w:vMerge w:val="restart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целями развития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 / стратегическими приоритетами (направлениями)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0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white"/>
              </w:rPr>
              <w:t xml:space="preserve">Ц</w:t>
            </w:r>
            <w:r>
              <w:rPr>
                <w:sz w:val="24"/>
                <w:szCs w:val="24"/>
                <w:highlight w:val="white"/>
              </w:rPr>
              <w:t xml:space="preserve">елевые показател</w:t>
            </w:r>
            <w:r>
              <w:rPr>
                <w:sz w:val="24"/>
                <w:szCs w:val="24"/>
                <w:highlight w:val="white"/>
              </w:rPr>
              <w:t xml:space="preserve">и развития </w:t>
            </w:r>
            <w:r>
              <w:rPr>
                <w:sz w:val="24"/>
                <w:szCs w:val="24"/>
                <w:highlight w:val="none"/>
              </w:rPr>
              <w:t xml:space="preserve">Губкинского городского округа Белгородской области: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1072"/>
              <w:numPr>
                <w:ilvl w:val="0"/>
                <w:numId w:val="42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коэффициент смертности не выше 12,8 человек на 1 тысячу населения.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42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Неналоговые доходы от сдачи в аренду муниципального имущества, зачисляемые в 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не менее 11 000,0 тысяч рублей.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Неналоговые доходы от сдачи в аренду земельных участков, зачисляемые в 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                                        не менее 252 100,0 тысяч рублей.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42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42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не ниже                                                 13 373,3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млн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42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Оборот малых и средних предприятий (юридических лиц) по всем видам экономической деятельности не ниже 22,2 млрд. рублей.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42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малом и среднем бизнесе в общей численности занятых не ниже 31,1%.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ind w:right="17"/>
        <w:jc w:val="center"/>
        <w:spacing w:after="295" w:line="259" w:lineRule="auto"/>
        <w:rPr>
          <w:b/>
          <w:bCs/>
          <w:sz w:val="4"/>
          <w:szCs w:val="4"/>
          <w:highlight w:val="none"/>
        </w:rPr>
      </w:pPr>
      <w:r>
        <w:rPr>
          <w:b/>
          <w:bCs/>
          <w:sz w:val="4"/>
          <w:szCs w:val="4"/>
          <w:highlight w:val="none"/>
        </w:rPr>
      </w:r>
      <w:r>
        <w:rPr>
          <w:b/>
          <w:bCs/>
          <w:sz w:val="4"/>
          <w:szCs w:val="4"/>
          <w:highlight w:val="none"/>
        </w:rPr>
      </w:r>
      <w:r>
        <w:rPr>
          <w:b/>
          <w:bCs/>
          <w:sz w:val="4"/>
          <w:szCs w:val="4"/>
          <w:highlight w:val="none"/>
        </w:rPr>
      </w:r>
    </w:p>
    <w:p>
      <w:pPr>
        <w:ind w:right="17"/>
        <w:jc w:val="center"/>
        <w:spacing w:after="295" w:line="259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2. Показатели муниципальной программы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15868" w:type="dxa"/>
        <w:tblInd w:w="-562" w:type="dxa"/>
        <w:tblLayout w:type="fixed"/>
        <w:tblCellMar>
          <w:left w:w="5" w:type="dxa"/>
          <w:top w:w="26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85"/>
        <w:gridCol w:w="993"/>
        <w:gridCol w:w="66"/>
        <w:gridCol w:w="921"/>
        <w:gridCol w:w="61"/>
        <w:gridCol w:w="936"/>
        <w:gridCol w:w="48"/>
        <w:gridCol w:w="798"/>
        <w:gridCol w:w="22"/>
        <w:gridCol w:w="820"/>
        <w:gridCol w:w="8"/>
        <w:gridCol w:w="484"/>
        <w:gridCol w:w="83"/>
        <w:gridCol w:w="567"/>
        <w:gridCol w:w="663"/>
        <w:gridCol w:w="47"/>
        <w:gridCol w:w="571"/>
        <w:gridCol w:w="38"/>
        <w:gridCol w:w="656"/>
        <w:gridCol w:w="11"/>
        <w:gridCol w:w="645"/>
        <w:gridCol w:w="63"/>
        <w:gridCol w:w="571"/>
        <w:gridCol w:w="22"/>
        <w:gridCol w:w="1959"/>
        <w:gridCol w:w="1419"/>
        <w:gridCol w:w="1213"/>
        <w:gridCol w:w="65"/>
        <w:gridCol w:w="1551"/>
      </w:tblGrid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restart"/>
            <w:textDirection w:val="lrTb"/>
            <w:noWrap w:val="false"/>
          </w:tcPr>
          <w:p>
            <w:pPr>
              <w:ind w:left="5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 xml:space="preserve">пп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ind w:right="3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Наимено-вание</w:t>
            </w:r>
            <w:r>
              <w:rPr>
                <w:b/>
                <w:bCs/>
              </w:rPr>
              <w:t xml:space="preserve"> 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restart"/>
            <w:textDirection w:val="lrTb"/>
            <w:noWrap w:val="false"/>
          </w:tcPr>
          <w:p>
            <w:pPr>
              <w:ind w:right="3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7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показа-теля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restart"/>
            <w:textDirection w:val="lrTb"/>
            <w:noWrap w:val="false"/>
          </w:tcPr>
          <w:p>
            <w:pPr>
              <w:ind w:right="24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Признак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180" w:hanging="81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возрас-тания</w:t>
            </w:r>
            <w:r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убыва-ния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ind w:left="15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Едини-</w:t>
            </w:r>
            <w:r>
              <w:rPr>
                <w:b/>
                <w:bCs/>
              </w:rPr>
              <w:t xml:space="preserve">ца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измере-ния</w:t>
            </w:r>
            <w:r>
              <w:rPr>
                <w:b/>
                <w:bCs/>
              </w:rPr>
              <w:t xml:space="preserve"> (по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right="2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ОКЕИ)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12" w:type="dxa"/>
            <w:textDirection w:val="lrTb"/>
            <w:noWrap w:val="false"/>
          </w:tcPr>
          <w:p>
            <w:pPr>
              <w:ind w:left="55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Базовое значение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937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Значения показателя по годам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95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-2"/>
                <w:sz w:val="16"/>
                <w:szCs w:val="16"/>
              </w:rPr>
            </w:pPr>
            <w:r>
              <w:rPr>
                <w:b/>
                <w:bCs/>
                <w:spacing w:val="-2"/>
              </w:rPr>
              <w:t xml:space="preserve">Документ</w:t>
            </w:r>
            <w:r>
              <w:rPr>
                <w:b/>
                <w:bCs/>
                <w:spacing w:val="-2"/>
                <w:sz w:val="16"/>
                <w:szCs w:val="16"/>
              </w:rPr>
            </w:r>
            <w:r>
              <w:rPr>
                <w:b/>
                <w:bCs/>
                <w:spacing w:val="-2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-2"/>
                <w:sz w:val="16"/>
                <w:szCs w:val="16"/>
              </w:rPr>
            </w:pPr>
            <w:r>
              <w:rPr>
                <w:b/>
                <w:bCs/>
                <w:spacing w:val="-2"/>
              </w:rPr>
              <w:t xml:space="preserve">Ответствен-</w:t>
            </w:r>
            <w:r>
              <w:rPr>
                <w:b/>
                <w:bCs/>
                <w:spacing w:val="-2"/>
              </w:rPr>
              <w:t xml:space="preserve">ный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br/>
              <w:t xml:space="preserve">за достижение показателя</w:t>
            </w:r>
            <w:r>
              <w:rPr>
                <w:b/>
                <w:bCs/>
                <w:spacing w:val="-2"/>
                <w:sz w:val="16"/>
                <w:szCs w:val="16"/>
              </w:rPr>
            </w:r>
            <w:r>
              <w:rPr>
                <w:b/>
                <w:bCs/>
                <w:spacing w:val="-2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213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Связь с </w:t>
            </w:r>
            <w:r>
              <w:rPr>
                <w:b/>
                <w:bCs/>
              </w:rPr>
              <w:t xml:space="preserve">показате-лями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националь-ных</w:t>
            </w:r>
            <w:r>
              <w:rPr>
                <w:b/>
                <w:bCs/>
              </w:rPr>
              <w:t xml:space="preserve"> целей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Связь </w:t>
            </w:r>
            <w:r>
              <w:rPr>
                <w:b/>
                <w:bCs/>
              </w:rPr>
              <w:t xml:space="preserve">с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spacing w:after="1"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показателями </w:t>
            </w:r>
            <w:r>
              <w:rPr>
                <w:b/>
                <w:bCs/>
              </w:rPr>
              <w:t xml:space="preserve">государ</w:t>
            </w:r>
            <w:r>
              <w:rPr>
                <w:b/>
                <w:bCs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spacing w:after="1"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ственных</w:t>
            </w:r>
            <w:r>
              <w:rPr>
                <w:b/>
                <w:bCs/>
              </w:rPr>
              <w:t xml:space="preserve"> программ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righ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Белгородской области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139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left="6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значе-ние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vAlign w:val="center"/>
            <w:textDirection w:val="lrTb"/>
            <w:noWrap w:val="false"/>
          </w:tcPr>
          <w:p>
            <w:pPr>
              <w:ind w:right="1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год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ind w:right="8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left="7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right="12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right="12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2030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</w:tr>
      <w:tr>
        <w:tblPrEx/>
        <w:trPr>
          <w:trHeight w:val="217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29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right="3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right="3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right="21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2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right="2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ind w:right="19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ind w:right="14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1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8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840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vAlign w:val="center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Цель муниципальной программы № 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87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restart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1</w:t>
            </w:r>
            <w:r>
              <w:t xml:space="preserve">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contextualSpacing/>
              <w:ind w:left="142"/>
            </w:pPr>
            <w:r>
              <w:t xml:space="preserve">Числен-</w:t>
            </w:r>
            <w:r>
              <w:t xml:space="preserve">ность</w:t>
            </w:r>
            <w:r>
              <w:t xml:space="preserve"> </w:t>
            </w:r>
            <w:r>
              <w:t xml:space="preserve">постра</w:t>
            </w:r>
            <w:r>
              <w:t xml:space="preserve">-давших в результате </w:t>
            </w:r>
            <w:r>
              <w:t xml:space="preserve">несчас-тных</w:t>
            </w:r>
            <w:r>
              <w:t xml:space="preserve"> случаев на </w:t>
            </w:r>
            <w:r>
              <w:t xml:space="preserve">произ-водстве</w:t>
            </w:r>
            <w:r>
              <w:t xml:space="preserve"> с утратой </w:t>
            </w:r>
            <w:r>
              <w:t xml:space="preserve">трудос-пособ-ности</w:t>
            </w:r>
            <w:r>
              <w:t xml:space="preserve">          на 1 рабочий день и более и со </w:t>
            </w:r>
            <w:r>
              <w:t xml:space="preserve">смертель-ным</w:t>
            </w:r>
            <w:r>
              <w:t xml:space="preserve"> </w:t>
            </w:r>
            <w:r>
              <w:t xml:space="preserve">исхо</w:t>
            </w:r>
            <w:r>
              <w:t xml:space="preserve">-дом в рас-чете на 1 тыс. </w:t>
            </w:r>
            <w:r>
              <w:t xml:space="preserve">рабо</w:t>
            </w:r>
            <w:r>
              <w:t xml:space="preserve">-тающих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restart"/>
            <w:textDirection w:val="lrTb"/>
            <w:noWrap w:val="false"/>
          </w:tcPr>
          <w:p>
            <w:pPr>
              <w:ind w:left="137"/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restart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Регрес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pStyle w:val="1068"/>
              <w:contextualSpacing/>
              <w:ind w:lef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1,107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1,083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1,073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1,069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1,063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1,059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1,050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Merge w:val="restart"/>
            <w:textDirection w:val="lrTb"/>
            <w:noWrap w:val="false"/>
          </w:tcPr>
          <w:p>
            <w:pPr>
              <w:ind w:left="142"/>
              <w:rPr>
                <w:color w:val="000000" w:themeColor="text1"/>
                <w:highlight w:val="white"/>
              </w:rPr>
            </w:pPr>
            <w:r/>
            <w:hyperlink r:id="rId15" w:tooltip="https://login.consultant.ru/link/?req=doc&amp;base=LAW&amp;n=411214" w:history="1">
              <w:r>
                <w:rPr>
                  <w:color w:val="000000" w:themeColor="text1"/>
                </w:rPr>
                <w:t xml:space="preserve">Приказ</w:t>
              </w:r>
            </w:hyperlink>
            <w:r>
              <w:rPr>
                <w:color w:val="000000" w:themeColor="text1"/>
              </w:rPr>
              <w:t xml:space="preserve"> Минтруда России </w:t>
            </w:r>
            <w:r>
              <w:rPr>
                <w:color w:val="000000" w:themeColor="text1"/>
              </w:rPr>
              <w:t xml:space="preserve">от 03.12 2024 № 661 «О проведении общероссийского мониторинга </w:t>
            </w:r>
            <w:r>
              <w:rPr>
                <w:color w:val="000000" w:themeColor="text1"/>
                <w:highlight w:val="white"/>
              </w:rPr>
              <w:t xml:space="preserve">состояния условий     и охраны труда» 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vMerge w:val="restart"/>
            <w:textDirection w:val="lrTb"/>
            <w:noWrap w:val="false"/>
          </w:tcPr>
          <w:p>
            <w:pPr>
              <w:ind w:left="142"/>
              <w:jc w:val="left"/>
            </w:pPr>
            <w:r>
              <w:t xml:space="preserve">Отдел по труду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vMerge w:val="restart"/>
            <w:textDirection w:val="lrTb"/>
            <w:noWrap w:val="false"/>
          </w:tcPr>
          <w:p>
            <w:pPr>
              <w:contextualSpacing/>
              <w:ind w:left="78"/>
              <w:jc w:val="center"/>
            </w:pPr>
            <w:r>
              <w:rPr>
                <w:color w:val="000000" w:themeColor="text1"/>
              </w:rP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restart"/>
            <w:textDirection w:val="lrTb"/>
            <w:noWrap w:val="false"/>
          </w:tcPr>
          <w:p>
            <w:pPr>
              <w:pStyle w:val="1068"/>
              <w:ind w:left="142"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-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13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textDirection w:val="lrTb"/>
            <w:noWrap w:val="false"/>
          </w:tcPr>
          <w:p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Цель муниципальной программы № 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1068"/>
              <w:ind w:left="142" w:firstLine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Белгородской области»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66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2.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</w:pPr>
            <w:r>
              <w:t xml:space="preserve">Неналого</w:t>
            </w:r>
            <w:r>
              <w:t xml:space="preserve">-вые</w:t>
            </w:r>
            <w:r>
              <w:t xml:space="preserve"> доходы от </w:t>
            </w:r>
            <w:r>
              <w:t xml:space="preserve">использо-вания</w:t>
            </w:r>
            <w:r>
              <w:t xml:space="preserve"> объектов </w:t>
            </w:r>
            <w:r>
              <w:t xml:space="preserve">муници-пальной</w:t>
            </w:r>
            <w:r>
              <w:t xml:space="preserve"> </w:t>
            </w:r>
            <w:r>
              <w:t xml:space="preserve">собствен-ности</w:t>
            </w:r>
            <w:r>
              <w:t xml:space="preserve"> и земельных участков,  </w:t>
            </w:r>
            <w:r>
              <w:t xml:space="preserve">государст</w:t>
            </w:r>
            <w:r>
              <w:t xml:space="preserve">-венная </w:t>
            </w:r>
            <w:r>
              <w:t xml:space="preserve">собствен-ность</w:t>
            </w:r>
            <w:r>
              <w:t xml:space="preserve"> на которые не </w:t>
            </w:r>
            <w:r>
              <w:t xml:space="preserve">разграни-чена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</w:pPr>
            <w:r>
              <w:t xml:space="preserve">Тыс. руб.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</w:pPr>
            <w:r>
              <w:t xml:space="preserve">346412,3</w:t>
            </w:r>
            <w:r/>
          </w:p>
          <w:p>
            <w:pPr>
              <w:jc w:val="center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jc w:val="center"/>
            </w:pPr>
            <w:r>
              <w:t xml:space="preserve">2023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</w:pPr>
            <w:r>
              <w:t xml:space="preserve">265100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non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Align w:val="center"/>
            <w:textDirection w:val="lrTb"/>
            <w:noWrap w:val="false"/>
          </w:tcPr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Гражданский кодекс Российской </w:t>
            </w:r>
            <w:r>
              <w:rPr>
                <w:highlight w:val="white"/>
              </w:rPr>
              <w:t xml:space="preserve">Федера-ции</w:t>
            </w:r>
            <w:r>
              <w:rPr>
                <w:highlight w:val="white"/>
              </w:rPr>
              <w:t xml:space="preserve">, Земельный Кодекс Российской Федерации, Фед</w:t>
            </w:r>
            <w:r>
              <w:rPr>
                <w:highlight w:val="white"/>
              </w:rPr>
              <w:t xml:space="preserve">е-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ральный</w:t>
            </w:r>
            <w:r>
              <w:rPr>
                <w:highlight w:val="white"/>
              </w:rPr>
              <w:t xml:space="preserve"> закон                 от 25.10.2001           № 137-ФЗ «О введении в действие Земельного кодекса Российской </w:t>
            </w:r>
            <w:r>
              <w:rPr>
                <w:highlight w:val="white"/>
              </w:rPr>
              <w:t xml:space="preserve">Федера-ции</w:t>
            </w:r>
            <w:r>
              <w:rPr>
                <w:highlight w:val="white"/>
              </w:rPr>
              <w:t xml:space="preserve">» Федеральный закон от 26.07.2006                        № 135-ФЗ «О </w:t>
            </w:r>
            <w:r>
              <w:rPr>
                <w:highlight w:val="white"/>
              </w:rPr>
              <w:t xml:space="preserve">защи</w:t>
            </w:r>
            <w:r>
              <w:rPr>
                <w:highlight w:val="white"/>
              </w:rPr>
              <w:t xml:space="preserve">-те конкуренции»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Приказ ФАС России от 21.03.2023                      № 147/23 «О </w:t>
            </w:r>
            <w:r>
              <w:rPr>
                <w:highlight w:val="white"/>
              </w:rPr>
              <w:t xml:space="preserve">поряд-ке</w:t>
            </w:r>
            <w:r>
              <w:rPr>
                <w:highlight w:val="white"/>
              </w:rPr>
              <w:t xml:space="preserve"> проведения конкурсов или аукционов на право заключения </w:t>
            </w:r>
            <w:r>
              <w:rPr>
                <w:highlight w:val="white"/>
              </w:rPr>
              <w:t xml:space="preserve">догово</w:t>
            </w:r>
            <w:r>
              <w:rPr>
                <w:highlight w:val="white"/>
              </w:rPr>
              <w:t xml:space="preserve">-ров аренды, </w:t>
            </w:r>
            <w:r>
              <w:rPr>
                <w:highlight w:val="white"/>
              </w:rPr>
              <w:t xml:space="preserve">догово</w:t>
            </w:r>
            <w:r>
              <w:rPr>
                <w:highlight w:val="white"/>
              </w:rPr>
              <w:t xml:space="preserve">-ров безвозмездного пользования, </w:t>
            </w:r>
            <w:r>
              <w:rPr>
                <w:highlight w:val="white"/>
              </w:rPr>
              <w:t xml:space="preserve">дого</w:t>
            </w:r>
            <w:r>
              <w:rPr>
                <w:highlight w:val="white"/>
              </w:rPr>
              <w:t xml:space="preserve">-воров доверитель-</w:t>
            </w:r>
            <w:r>
              <w:rPr>
                <w:highlight w:val="white"/>
              </w:rPr>
              <w:t xml:space="preserve">ного</w:t>
            </w:r>
            <w:r>
              <w:rPr>
                <w:highlight w:val="white"/>
              </w:rPr>
              <w:t xml:space="preserve"> управления имуществом,              иных договоров, предусматриваю-щих переход прав             в отношении государственного или муниципаль-ного имущества,                 и перечне видов имущества,                          в отношении которого </w:t>
            </w:r>
            <w:r>
              <w:rPr>
                <w:highlight w:val="white"/>
              </w:rPr>
              <w:t xml:space="preserve">заключение указанных договоров может осуществляться путем проведения торгов в форме конкурса»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</w:pPr>
            <w:r>
              <w:t xml:space="preserve">Комитет по управлению </w:t>
            </w:r>
            <w:r>
              <w:t xml:space="preserve">муниципаль</w:t>
            </w:r>
            <w:r>
              <w:t xml:space="preserve">-ной</w:t>
            </w:r>
            <w:r>
              <w:t xml:space="preserve"> </w:t>
            </w:r>
            <w:r>
              <w:t xml:space="preserve">собствен-ностью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78"/>
              <w:jc w:val="center"/>
            </w:pPr>
            <w: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166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restart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3.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contextualSpacing/>
              <w:ind w:left="142"/>
            </w:pPr>
            <w:r>
              <w:rPr>
                <w:highlight w:val="white"/>
              </w:rPr>
              <w:t xml:space="preserve">Вовлече-ние</w:t>
            </w:r>
            <w:r>
              <w:rPr>
                <w:highlight w:val="white"/>
              </w:rPr>
              <w:t xml:space="preserve"> земельных участков в </w:t>
            </w:r>
            <w:r>
              <w:rPr>
                <w:highlight w:val="white"/>
              </w:rPr>
              <w:t xml:space="preserve">хозяйст</w:t>
            </w:r>
            <w:r>
              <w:rPr>
                <w:highlight w:val="white"/>
              </w:rPr>
              <w:t xml:space="preserve">-венный оборот в целях увеличения доли земельных участков, являю-</w:t>
            </w:r>
            <w:r>
              <w:rPr>
                <w:highlight w:val="white"/>
              </w:rPr>
              <w:t xml:space="preserve">щихся</w:t>
            </w:r>
            <w:r>
              <w:rPr>
                <w:highlight w:val="white"/>
              </w:rPr>
              <w:t xml:space="preserve"> объектами </w:t>
            </w:r>
            <w:r>
              <w:rPr>
                <w:highlight w:val="white"/>
              </w:rPr>
              <w:t xml:space="preserve">налого</w:t>
            </w:r>
            <w:r>
              <w:rPr>
                <w:highlight w:val="white"/>
              </w:rPr>
              <w:t xml:space="preserve">-обложения не менее</w:t>
            </w:r>
            <w:r>
              <w:t xml:space="preserve">  50 га в год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restart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  <w:p>
            <w:pPr>
              <w:ind w:left="50"/>
              <w:jc w:val="center"/>
              <w:spacing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Га</w:t>
            </w:r>
            <w:r>
              <w:t xml:space="preserve">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50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50,5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Align w:val="center"/>
            <w:vMerge w:val="restart"/>
            <w:textDirection w:val="lrTb"/>
            <w:noWrap w:val="false"/>
          </w:tcPr>
          <w:p>
            <w:pPr>
              <w:ind w:left="142"/>
            </w:pPr>
            <w:r>
              <w:rPr>
                <w:highlight w:val="white"/>
              </w:rPr>
              <w:t xml:space="preserve">Перечень поруче-ний по вопросам </w:t>
            </w:r>
            <w:r>
              <w:rPr>
                <w:highlight w:val="white"/>
              </w:rPr>
              <w:t xml:space="preserve">реализации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государствен</w:t>
            </w:r>
            <w:r>
              <w:rPr>
                <w:highlight w:val="white"/>
              </w:rPr>
              <w:t xml:space="preserve">ной программы «Национальная система </w:t>
            </w:r>
            <w:r>
              <w:rPr>
                <w:highlight w:val="white"/>
              </w:rPr>
              <w:t xml:space="preserve">простран-ст</w:t>
            </w:r>
            <w:r>
              <w:rPr>
                <w:highlight w:val="white"/>
              </w:rPr>
              <w:t xml:space="preserve">венных данных» (утвержден </w:t>
            </w:r>
            <w:r>
              <w:rPr>
                <w:highlight w:val="white"/>
              </w:rPr>
              <w:t xml:space="preserve">Прези-дентом</w:t>
            </w:r>
            <w:r>
              <w:rPr>
                <w:highlight w:val="white"/>
              </w:rPr>
              <w:t xml:space="preserve"> Российской Федерации                       11 августа 2022 года          № Пр-1424). Распоряжение Правительства Российской Федерации от                  29 апреля 2021 года  № 1139-р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vMerge w:val="restart"/>
            <w:textDirection w:val="lrTb"/>
            <w:noWrap w:val="false"/>
          </w:tcPr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МКУ «Единая служба </w:t>
            </w:r>
            <w:r>
              <w:rPr>
                <w:highlight w:val="white"/>
              </w:rPr>
              <w:t xml:space="preserve">муниципаль</w:t>
            </w:r>
            <w:r>
              <w:rPr>
                <w:highlight w:val="white"/>
              </w:rPr>
              <w:t xml:space="preserve">-ной</w:t>
            </w:r>
            <w:r>
              <w:rPr>
                <w:highlight w:val="white"/>
              </w:rPr>
              <w:t xml:space="preserve"> недвижимости  и земельных ресурсов»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42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vMerge w:val="restart"/>
            <w:textDirection w:val="lrTb"/>
            <w:noWrap w:val="false"/>
          </w:tcPr>
          <w:p>
            <w:pPr>
              <w:ind w:left="78"/>
              <w:jc w:val="center"/>
            </w:pPr>
            <w:r>
              <w:t xml:space="preserve">-</w:t>
            </w:r>
            <w:r/>
          </w:p>
          <w:p>
            <w:pPr>
              <w:ind w:left="78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restart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975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textDirection w:val="lrTb"/>
            <w:noWrap w:val="false"/>
          </w:tcPr>
          <w:p>
            <w:pPr>
              <w:ind w:lef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 муниципальной программы № 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142"/>
              <w:jc w:val="center"/>
            </w:pPr>
            <w:r>
              <w:rPr>
                <w:b/>
                <w:sz w:val="24"/>
                <w:szCs w:val="24"/>
              </w:rPr>
              <w:t xml:space="preserve">«Формирование благоприятных условий для привлечения инвестиций в экономику </w:t>
            </w:r>
            <w:r>
              <w:rPr>
                <w:b/>
                <w:sz w:val="24"/>
                <w:szCs w:val="24"/>
              </w:rPr>
              <w:t xml:space="preserve">Губкинского</w:t>
            </w:r>
            <w:r>
              <w:rPr>
                <w:b/>
                <w:sz w:val="24"/>
                <w:szCs w:val="24"/>
              </w:rPr>
              <w:t xml:space="preserve"> городского округа Белгородской области </w:t>
            </w:r>
            <w:r>
              <w:rPr>
                <w:b/>
                <w:sz w:val="24"/>
                <w:szCs w:val="24"/>
              </w:rPr>
              <w:t xml:space="preserve">                  </w:t>
            </w:r>
            <w:r>
              <w:rPr>
                <w:b/>
                <w:sz w:val="24"/>
                <w:szCs w:val="24"/>
              </w:rPr>
              <w:t xml:space="preserve">и повышение инвестиционной активности бизнеса»</w:t>
            </w:r>
            <w:r/>
          </w:p>
        </w:tc>
      </w:tr>
      <w:tr>
        <w:tblPrEx/>
        <w:trPr>
          <w:trHeight w:val="97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4.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ind w:left="142" w:right="71"/>
            </w:pPr>
            <w:r>
              <w:t xml:space="preserve">Темп роста  объема </w:t>
            </w:r>
            <w:r>
              <w:t xml:space="preserve">инвести-ций</w:t>
            </w:r>
            <w:r>
              <w:t xml:space="preserve"> </w:t>
            </w:r>
            <w:r>
              <w:t xml:space="preserve">субъе-ктов</w:t>
            </w:r>
            <w:r>
              <w:t xml:space="preserve"> МСП в основ-ной капитал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7" w:type="dxa"/>
            <w:textDirection w:val="lrTb"/>
            <w:noWrap w:val="false"/>
          </w:tcPr>
          <w:p>
            <w:pPr>
              <w:ind w:left="137"/>
              <w:jc w:val="center"/>
              <w:spacing w:line="259" w:lineRule="auto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97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Процент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86,0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ind w:left="72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white"/>
              </w:rPr>
              <w:outlineLvl w:val="1"/>
            </w:pPr>
            <w:r>
              <w:rPr>
                <w:highlight w:val="white"/>
                <w:lang w:eastAsia="en-US"/>
              </w:rPr>
              <w:t xml:space="preserve">10</w:t>
            </w:r>
            <w:r>
              <w:rPr>
                <w:highlight w:val="none"/>
                <w:lang w:eastAsia="en-US"/>
              </w:rPr>
              <w:t xml:space="preserve">1,0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white"/>
              </w:rPr>
              <w:outlineLvl w:val="1"/>
            </w:pPr>
            <w:r>
              <w:rPr>
                <w:highlight w:val="white"/>
                <w:lang w:eastAsia="en-US"/>
              </w:rPr>
              <w:t xml:space="preserve">104,3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71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white"/>
              </w:rPr>
              <w:outlineLvl w:val="1"/>
            </w:pPr>
            <w:r>
              <w:rPr>
                <w:highlight w:val="white"/>
                <w:lang w:eastAsia="en-US"/>
              </w:rPr>
              <w:t xml:space="preserve">104,3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  <w:lang w:eastAsia="en-US"/>
              </w:rPr>
              <w:t xml:space="preserve">104,3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8" w:type="dxa"/>
            <w:textDirection w:val="lrTb"/>
            <w:noWrap w:val="false"/>
          </w:tcPr>
          <w:p>
            <w:pPr>
              <w:ind w:left="113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  <w:lang w:eastAsia="en-US"/>
              </w:rPr>
              <w:t xml:space="preserve">104,5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71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105,0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1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  <w:highlight w:val="white"/>
              </w:rPr>
              <w:t xml:space="preserve">П</w:t>
            </w:r>
            <w:r>
              <w:rPr>
                <w:color w:val="000000" w:themeColor="text1"/>
              </w:rPr>
              <w:t xml:space="preserve">остановление            правительства Белгородской области от                 25 декабря 2023 года № 750-пп                         «Об утверждении государственной программы               Белгородской области                  </w:t>
            </w:r>
            <w:r>
              <w:rPr>
                <w:color w:val="000000" w:themeColor="text1"/>
              </w:rPr>
              <w:t xml:space="preserve">«Развитие экономического потенциала                            и формирование благоприятного </w:t>
            </w:r>
            <w:r>
              <w:rPr>
                <w:color w:val="000000" w:themeColor="text1"/>
              </w:rPr>
              <w:t xml:space="preserve">предприниматель-</w:t>
            </w:r>
            <w:r>
              <w:rPr>
                <w:color w:val="000000" w:themeColor="text1"/>
              </w:rPr>
              <w:t xml:space="preserve">ского</w:t>
            </w:r>
            <w:r>
              <w:rPr>
                <w:color w:val="000000" w:themeColor="text1"/>
              </w:rPr>
              <w:t xml:space="preserve"> климата                           в Белгородской области»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экономики            и ценовой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8" w:type="dxa"/>
            <w:textDirection w:val="lrTb"/>
            <w:noWrap w:val="false"/>
          </w:tcPr>
          <w:p>
            <w:pPr>
              <w:ind w:left="142" w:right="6"/>
              <w:jc w:val="center"/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51" w:type="dxa"/>
            <w:textDirection w:val="lrTb"/>
            <w:noWrap w:val="false"/>
          </w:tcPr>
          <w:p>
            <w:pPr>
              <w:ind w:left="142"/>
              <w:jc w:val="center"/>
              <w:rPr>
                <w:color w:val="ff0000"/>
              </w:rPr>
            </w:pPr>
            <w:r>
              <w:t xml:space="preserve">-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  <w:p>
            <w:r/>
            <w:r/>
          </w:p>
          <w:p>
            <w:r/>
            <w:r/>
          </w:p>
        </w:tc>
      </w:tr>
      <w:tr>
        <w:tblPrEx/>
        <w:trPr>
          <w:trHeight w:val="955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vAlign w:val="center"/>
            <w:textDirection w:val="lrTb"/>
            <w:noWrap w:val="false"/>
          </w:tcPr>
          <w:p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Цель муниципальной программы № 4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«Создание благоприятных условий для устойчивого развития малого и среднего предпринимательства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06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restart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Оборот субъектов МСП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restart"/>
            <w:textDirection w:val="lrTb"/>
            <w:noWrap w:val="false"/>
          </w:tcPr>
          <w:p>
            <w:pPr>
              <w:ind w:left="137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МП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restart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Прогрес</w:t>
            </w:r>
            <w:r>
              <w:rPr>
                <w:highlight w:val="white"/>
              </w:rPr>
              <w:t xml:space="preserve">-сирую-</w:t>
            </w:r>
            <w:r>
              <w:rPr>
                <w:highlight w:val="white"/>
              </w:rPr>
              <w:t xml:space="preserve">щий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Млрд. руб.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24,1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vMerge w:val="restart"/>
            <w:textDirection w:val="lrTb"/>
            <w:noWrap w:val="false"/>
          </w:tcPr>
          <w:p>
            <w:pPr>
              <w:ind w:left="72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highlight w:val="yellow"/>
              </w:rPr>
              <w:outlineLvl w:val="1"/>
            </w:pPr>
            <w:r>
              <w:rPr>
                <w:lang w:eastAsia="en-US"/>
              </w:rPr>
              <w:t xml:space="preserve">28,7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highlight w:val="yellow"/>
              </w:rPr>
              <w:outlineLvl w:val="1"/>
            </w:pPr>
            <w:r>
              <w:rPr>
                <w:lang w:eastAsia="en-US"/>
              </w:rPr>
              <w:t xml:space="preserve">28,9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ind w:left="113"/>
              <w:rPr>
                <w:highlight w:val="yellow"/>
              </w:rPr>
            </w:pPr>
            <w:r>
              <w:t xml:space="preserve">29,1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ind w:left="113"/>
              <w:widowControl/>
              <w:rPr>
                <w:highlight w:val="yellow"/>
              </w:rPr>
            </w:pPr>
            <w:r>
              <w:t xml:space="preserve">29,3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ind w:left="113"/>
              <w:rPr>
                <w:highlight w:val="yellow"/>
              </w:rPr>
            </w:pPr>
            <w:r>
              <w:t xml:space="preserve">29,5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Merge w:val="restart"/>
            <w:textDirection w:val="lrTb"/>
            <w:noWrap w:val="false"/>
          </w:tcPr>
          <w:p>
            <w:pPr>
              <w:ind w:left="113"/>
              <w:rPr>
                <w:highlight w:val="yellow"/>
              </w:rPr>
            </w:pPr>
            <w:r>
              <w:t xml:space="preserve">29,7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Merge w:val="restart"/>
            <w:textDirection w:val="lrTb"/>
            <w:noWrap w:val="false"/>
          </w:tcPr>
          <w:p>
            <w:pPr>
              <w:ind w:left="115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П</w:t>
            </w:r>
            <w:r>
              <w:rPr>
                <w:color w:val="000000" w:themeColor="text1"/>
              </w:rPr>
              <w:t xml:space="preserve">остановление правительства Белгородской области от                 25 декабря 2023 года № 750-пп  «Об утверждении государственной программы Белгородской области                     «Развитие экономического потенциала и формирование благоприятного </w:t>
            </w:r>
            <w:r>
              <w:rPr>
                <w:color w:val="000000" w:themeColor="text1"/>
              </w:rPr>
              <w:t xml:space="preserve">предпринима-тельского</w:t>
            </w:r>
            <w:r>
              <w:rPr>
                <w:color w:val="000000" w:themeColor="text1"/>
              </w:rPr>
              <w:t xml:space="preserve">                      климата в Белгородской области»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vMerge w:val="restart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экономики              и ценовой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vMerge w:val="restart"/>
            <w:textDirection w:val="lrTb"/>
            <w:noWrap w:val="false"/>
          </w:tcPr>
          <w:p>
            <w:pPr>
              <w:ind w:left="142" w:right="6"/>
              <w:jc w:val="center"/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restart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45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left="80" w:right="66"/>
            </w:pPr>
            <w:r>
              <w:t xml:space="preserve">Числен-</w:t>
            </w:r>
            <w:r>
              <w:t xml:space="preserve">ность</w:t>
            </w:r>
            <w:r>
              <w:t xml:space="preserve"> </w:t>
            </w:r>
            <w:r>
              <w:t xml:space="preserve">занятых</w:t>
            </w:r>
            <w:r>
              <w:t xml:space="preserve"> </w:t>
            </w:r>
            <w:r>
              <w:t xml:space="preserve">              </w:t>
            </w:r>
            <w:r>
              <w:t xml:space="preserve">в сфере малого и среднего </w:t>
            </w:r>
            <w:r>
              <w:t xml:space="preserve">предпри-</w:t>
            </w:r>
            <w:r>
              <w:t xml:space="preserve">нима-тельства</w:t>
            </w:r>
            <w:r>
              <w:t xml:space="preserve">, включая индивиду-</w:t>
            </w:r>
            <w:r>
              <w:t xml:space="preserve">альных</w:t>
            </w:r>
            <w:r>
              <w:t xml:space="preserve"> </w:t>
            </w:r>
            <w:r>
              <w:t xml:space="preserve">предпри-нимателей</w:t>
            </w:r>
            <w:r>
              <w:t xml:space="preserve"> и </w:t>
            </w:r>
            <w:r>
              <w:t xml:space="preserve">самоза</w:t>
            </w:r>
            <w:r>
              <w:t xml:space="preserve">-</w:t>
            </w:r>
            <w:r>
              <w:t xml:space="preserve">нятых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Чел.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</w:pPr>
            <w:r>
              <w:t xml:space="preserve">12266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left="72"/>
              <w:spacing w:line="259" w:lineRule="auto"/>
            </w:pPr>
            <w:r>
              <w:t xml:space="preserve">2023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13039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13470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13926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14297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14594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14887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15"/>
              <w:rPr>
                <w:color w:val="000000" w:themeColor="text1"/>
              </w:rPr>
            </w:pPr>
            <w:r>
              <w:rPr>
                <w:color w:val="000000" w:themeColor="text1"/>
                <w:highlight w:val="white"/>
              </w:rPr>
              <w:t xml:space="preserve">П</w:t>
            </w:r>
            <w:r>
              <w:rPr>
                <w:color w:val="000000" w:themeColor="text1"/>
              </w:rPr>
              <w:t xml:space="preserve">остановление правительства Белгородской области от                 25 декабря 2023 года № 750-пп                       «Об утверждении </w:t>
            </w:r>
            <w:r>
              <w:rPr>
                <w:color w:val="000000" w:themeColor="text1"/>
              </w:rPr>
              <w:t xml:space="preserve">государствен</w:t>
            </w: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11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ной программы Белгородской области                  «Развитие экономического потенциала                        и формирование благоприятного </w:t>
            </w:r>
            <w:r>
              <w:rPr>
                <w:color w:val="000000" w:themeColor="text1"/>
              </w:rPr>
              <w:t xml:space="preserve">предпринима-тельского</w:t>
            </w:r>
            <w:r>
              <w:rPr>
                <w:color w:val="000000" w:themeColor="text1"/>
              </w:rPr>
              <w:t xml:space="preserve">             климата                                в Белгородской области»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экономики          и ценовой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142" w:right="6"/>
              <w:jc w:val="center"/>
              <w:spacing w:line="267" w:lineRule="auto"/>
            </w:pPr>
            <w: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</w:tbl>
    <w:p>
      <w:pPr>
        <w:pStyle w:val="1072"/>
        <w:ind w:left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ind w:left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ind w:left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ind w:left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ind w:left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72"/>
        <w:numPr>
          <w:ilvl w:val="0"/>
          <w:numId w:val="4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Помесячный план достижения показателей муниципальной программы в 2026 году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5877" w:type="dxa"/>
        <w:tblInd w:w="-567" w:type="dxa"/>
        <w:tblLayout w:type="fixed"/>
        <w:tblCellMar>
          <w:left w:w="0" w:type="dxa"/>
          <w:top w:w="26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3"/>
        <w:gridCol w:w="1133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20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118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44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89" w:firstLine="1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измерения (по ОКЕИ)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795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Плановые значения по кварталам / месяцам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 конец</w:t>
            </w:r>
            <w:r>
              <w:rPr>
                <w:b/>
                <w:bCs/>
              </w:rPr>
              <w:t xml:space="preserve"> 2025 года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95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январь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февраль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2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март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74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апрель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7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май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июнь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июль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август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сентябрь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45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октябрь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ноябрь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</w:tr>
    </w:tbl>
    <w:p>
      <w:pPr>
        <w:jc w:val="center"/>
        <w:rPr>
          <w:b/>
          <w:bCs/>
          <w:sz w:val="2"/>
          <w:szCs w:val="2"/>
        </w:rPr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W w:w="15877" w:type="dxa"/>
        <w:tblInd w:w="-567" w:type="dxa"/>
        <w:tblLayout w:type="fixed"/>
        <w:tblCellMar>
          <w:left w:w="0" w:type="dxa"/>
          <w:top w:w="26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2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234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21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16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3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ind w:left="144"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Цель муниципальной программы № 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144"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«Создание условий для формирования культуры безопасного труда и повышение эффективности мер, направленных на сохранение жизни и здоровья работников                      в процессе трудовой деятельности»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contextualSpacing/>
              <w:ind w:left="142" w:right="130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Ед.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1,073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1,073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1,073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pStyle w:val="905"/>
              <w:jc w:val="center"/>
            </w:pPr>
            <w:r>
              <w:t xml:space="preserve">1,073</w:t>
            </w:r>
            <w:r/>
          </w:p>
        </w:tc>
      </w:tr>
      <w:tr>
        <w:tblPrEx/>
        <w:trPr>
          <w:trHeight w:val="23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Цель муниципальной программы № 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«Повышение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b/>
                <w:bCs/>
              </w:rPr>
              <w:t xml:space="preserve">Губкинского</w:t>
            </w:r>
            <w:r>
              <w:rPr>
                <w:b/>
                <w:bCs/>
              </w:rPr>
              <w:t xml:space="preserve"> городского округа                     Белгородской области»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pStyle w:val="1068"/>
              <w:ind w:left="142" w:right="136" w:firstLine="0"/>
              <w:jc w:val="both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Неналоговые доходы от использования объектов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собствен-ности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 и земельных участков,  государственная собственность на которые не разграничена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Тыс</w:t>
            </w:r>
            <w:r>
              <w:t xml:space="preserve">.р</w:t>
            </w:r>
            <w:r>
              <w:t xml:space="preserve">ублей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  <w:t xml:space="preserve">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contextualSpacing/>
              <w:ind w:left="142" w:right="130"/>
            </w:pPr>
            <w:r>
              <w:rPr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Га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  <w:lang w:eastAsia="zh-CN"/>
              </w:rPr>
              <w:t xml:space="preserve">-</w:t>
            </w:r>
            <w:r/>
          </w:p>
        </w:tc>
      </w:tr>
      <w:tr>
        <w:tblPrEx/>
        <w:trPr>
          <w:trHeight w:val="47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contextualSpacing/>
              <w:ind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Цель муниципальной программы № 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contextualSpacing/>
              <w:ind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«Формирование благоприятных условий для привлечения инвестиций в экономику </w:t>
            </w:r>
            <w:r>
              <w:rPr>
                <w:b/>
                <w:bCs/>
              </w:rPr>
              <w:t xml:space="preserve">Губкинского</w:t>
            </w:r>
            <w:r>
              <w:rPr>
                <w:b/>
                <w:bCs/>
              </w:rPr>
              <w:t xml:space="preserve"> городского округа Белгородской области и повышение инвестиционной активности бизнеса»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47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4.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/>
            </w:pPr>
            <w:r>
              <w:t xml:space="preserve">Темп роста  объема инвестиций субъектов МСП в основной капитал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spacing w:after="123" w:line="259" w:lineRule="auto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Процент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25,1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51,5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77,5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outlineLvl w:val="1"/>
            </w:pPr>
            <w:r>
              <w:rPr>
                <w:lang w:eastAsia="en-US"/>
              </w:rPr>
              <w:t xml:space="preserve">104,3</w:t>
            </w:r>
            <w:r/>
          </w:p>
        </w:tc>
      </w:tr>
      <w:tr>
        <w:tblPrEx/>
        <w:trPr>
          <w:trHeight w:val="539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pStyle w:val="1085"/>
              <w:contextualSpacing/>
              <w:ind w:left="286" w:right="27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Цель муниципальной программы № 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1085"/>
              <w:contextualSpacing/>
              <w:ind w:left="286" w:right="27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«Создание благоприятных условий для устойчивого развития малого и среднего предпринимательства в </w:t>
            </w:r>
            <w:r>
              <w:rPr>
                <w:rFonts w:ascii="Times New Roman" w:hAnsi="Times New Roman" w:cs="Times New Roman"/>
                <w:sz w:val="20"/>
              </w:rPr>
              <w:t xml:space="preserve">Губкинском</w:t>
            </w:r>
            <w:r>
              <w:rPr>
                <w:rFonts w:ascii="Times New Roman" w:hAnsi="Times New Roman" w:cs="Times New Roman"/>
                <w:sz w:val="20"/>
              </w:rPr>
              <w:t xml:space="preserve"> городском округе Белгородской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5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/>
            </w:pPr>
            <w:r>
              <w:t xml:space="preserve">Оборот субъектов МСП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spacing w:after="123" w:line="259" w:lineRule="auto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Млрд. рублей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7,</w:t>
            </w:r>
            <w:r>
              <w:rPr>
                <w:highlight w:val="non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15,6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23,5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yellow"/>
              </w:rPr>
              <w:outlineLvl w:val="1"/>
            </w:pPr>
            <w:r>
              <w:rPr>
                <w:lang w:eastAsia="en-US"/>
              </w:rPr>
              <w:t xml:space="preserve">28,9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>
          <w:trHeight w:val="92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 w:right="130"/>
            </w:pPr>
            <w: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r>
              <w:t xml:space="preserve">самозанятых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Чел.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12785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13005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13250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13470</w:t>
            </w:r>
            <w:r/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Структура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648"/>
        <w:spacing w:line="259" w:lineRule="auto"/>
      </w:pPr>
      <w:r/>
      <w:r/>
    </w:p>
    <w:tbl>
      <w:tblPr>
        <w:tblW w:w="15874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>
        <w:tblPrEx/>
        <w:trPr>
          <w:trHeight w:val="58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Align w:val="bottom"/>
            <w:textDirection w:val="lrTb"/>
            <w:noWrap w:val="false"/>
          </w:tcPr>
          <w:p>
            <w:pPr>
              <w:ind w:right="7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right="7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Align w:val="center"/>
            <w:textDirection w:val="lrTb"/>
            <w:noWrap w:val="false"/>
          </w:tcPr>
          <w:p>
            <w:pPr>
              <w:ind w:right="1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Задачи структурного элемента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Align w:val="center"/>
            <w:textDirection w:val="lrTb"/>
            <w:noWrap w:val="false"/>
          </w:tcPr>
          <w:p>
            <w:pPr>
              <w:ind w:left="45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Связь с показателями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spacing w:after="17" w:line="17" w:lineRule="atLeast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5874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>
        <w:tblPrEx/>
        <w:trPr>
          <w:trHeight w:val="12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right="1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3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49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9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Направление (подпрограмма) 1 </w:t>
            </w:r>
            <w:r>
              <w:rPr>
                <w:b/>
                <w:bCs/>
                <w:sz w:val="24"/>
                <w:szCs w:val="24"/>
              </w:rPr>
              <w:t xml:space="preserve">«Улучшение условий и охран</w:t>
            </w:r>
            <w:r>
              <w:rPr>
                <w:b/>
                <w:bCs/>
                <w:sz w:val="24"/>
                <w:szCs w:val="24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 труда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firstLine="142"/>
              <w:jc w:val="both"/>
              <w:rPr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color w:val="000000" w:themeColor="text1"/>
                <w:sz w:val="24"/>
                <w:szCs w:val="24"/>
              </w:rPr>
              <w:t xml:space="preserve">Комплекс процессных мероприятий «Улучшение условий и охрана труда в </w:t>
            </w:r>
            <w:r>
              <w:rPr>
                <w:color w:val="000000" w:themeColor="text1"/>
                <w:sz w:val="24"/>
                <w:szCs w:val="24"/>
              </w:rPr>
              <w:t xml:space="preserve">Губкинском</w:t>
            </w:r>
            <w:r>
              <w:rPr>
                <w:color w:val="000000" w:themeColor="text1"/>
                <w:sz w:val="24"/>
                <w:szCs w:val="24"/>
              </w:rPr>
              <w:t xml:space="preserve">  городском округе Белгородской области»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 w:firstLine="142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реализацию: </w:t>
            </w:r>
            <w:r>
              <w:rPr>
                <w:sz w:val="24"/>
                <w:szCs w:val="24"/>
              </w:rPr>
              <w:t xml:space="preserve">отдел по труду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6" w:firstLine="126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 — 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color w:val="000000" w:themeColor="text1"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Обеспечено повышение культуры безопасного труда в целях формирования условий труда, позволяющих сохранить трудоспособность работающего населения на всем протяжении профессиональной карьеры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Направление (подпрограмма) 2 </w:t>
            </w:r>
            <w:r>
              <w:rPr>
                <w:b/>
                <w:bCs/>
                <w:sz w:val="24"/>
                <w:szCs w:val="24"/>
              </w:rPr>
              <w:t xml:space="preserve">«Управление земельными ресурсами и имуществом </w:t>
            </w:r>
            <w:r>
              <w:rPr>
                <w:b/>
                <w:bCs/>
                <w:sz w:val="24"/>
                <w:szCs w:val="24"/>
              </w:rPr>
              <w:t xml:space="preserve">Губкинского</w:t>
            </w:r>
            <w:r>
              <w:rPr>
                <w:b/>
                <w:bCs/>
                <w:sz w:val="24"/>
                <w:szCs w:val="24"/>
              </w:rPr>
              <w:t xml:space="preserve"> городского округа               Белгородской области»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Комплекс процессных мероприятий «Управление земельными ресурсами и имуществом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 Белгородской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реализацию: </w:t>
            </w:r>
            <w:r>
              <w:rPr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округа; МКУ «Управление капитального строительства»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6" w:firstLine="126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Задача 1.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Исполнение муниципальных функций (оказание муниципальных услуг) исполнительными органами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действующим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законода-тельством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. Реализация комплекса процессных мероприятий по эффективному управлению муниципальной собственностью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беспечена деятельность комитета по управлению муниципальной собственностью администрации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округа, реализован комплекс мероприятий, направленных на эффективное управление муниципальной собственностью, зачислены в бюджет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pStyle w:val="1068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left="57" w:right="5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textDirection w:val="lrTb"/>
            <w:noWrap w:val="false"/>
          </w:tcPr>
          <w:p>
            <w:pPr>
              <w:pStyle w:val="1068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Комплекс процессных мероприятий «Обеспечение реализации муниципальной программы»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textDirection w:val="lrTb"/>
            <w:noWrap w:val="false"/>
          </w:tcPr>
          <w:p>
            <w:pPr>
              <w:ind w:left="57" w:right="57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Ответственный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за реализацию: МКУ «Единая служба муниципальной недвижимости и земельных ресурсов»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pStyle w:val="1068"/>
              <w:ind w:left="142" w:right="72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Срок реализации: 2025 год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57" w:right="57"/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Задача 1. Реализация комплекса процессных мероприятий по  кадастровой деятельности, землеустройству и землепользованию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pStyle w:val="1068"/>
              <w:ind w:left="142" w:right="74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Обеспечена деятельность (оказание услуг) подведомственного учреждения - МКУ «Единая служба муниципальной недвижимости и земельных ресурсов».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Реализ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ован комплекс мероприятий, направленных на реализацию конституционных норм и гарантий прав собственности на землю и иную недвижимость, активизацию вовлечения земли в гражданский оборот, формирование базы экономически обоснованного налогообложения, а 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совершенствование системы управления земельными участками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pStyle w:val="1068"/>
              <w:ind w:left="142" w:right="74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налогообло-жения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50 га в год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pStyle w:val="1068"/>
              <w:ind w:left="142" w:right="72" w:firstLine="0"/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Направление (подпрограмма) 3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«Улучшение инвестиционного климата в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trHeight w:val="6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«Реализация мероприятий по привлечению инвестиций и работе с инвесторами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Ответственный</w:t>
            </w:r>
            <w:r>
              <w:rPr>
                <w:sz w:val="24"/>
                <w:szCs w:val="24"/>
              </w:rPr>
              <w:t xml:space="preserve"> за реализацию: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pStyle w:val="1068"/>
              <w:ind w:left="142" w:right="72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2025 — 2030 годы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Обеспечение улучшения организационных                   и экономических условий осуществления инвестиционной деятельности, повышение информированности представителей                   </w:t>
            </w:r>
            <w:r>
              <w:rPr>
                <w:sz w:val="24"/>
                <w:szCs w:val="24"/>
              </w:rPr>
              <w:t xml:space="preserve">бизнес-сообществ</w:t>
            </w:r>
            <w:r>
              <w:rPr>
                <w:sz w:val="24"/>
                <w:szCs w:val="24"/>
              </w:rPr>
              <w:t xml:space="preserve"> о реализуемых в               городском округе проектах и созданной инфраструктуре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 xml:space="preserve">Темп роста  объема инвестиций субъектов МСП в основной капитал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1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Направление (подпрограмма) 4 </w:t>
            </w:r>
            <w:r>
              <w:rPr>
                <w:b/>
                <w:bCs/>
                <w:sz w:val="24"/>
                <w:szCs w:val="24"/>
              </w:rPr>
              <w:t xml:space="preserve">«Развитие и поддержка малого и среднего предпринимательства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2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Комплекс процессных мероприятий</w:t>
            </w:r>
            <w:r>
              <w:rPr>
                <w:sz w:val="24"/>
                <w:szCs w:val="24"/>
              </w:rPr>
              <w:t xml:space="preserve"> «Элементы устойчивого развития </w:t>
            </w:r>
            <w:r>
              <w:rPr>
                <w:sz w:val="24"/>
                <w:szCs w:val="24"/>
              </w:rPr>
              <w:t xml:space="preserve">малого и среднего предпринимательства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9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</w:t>
            </w:r>
            <w:r>
              <w:rPr>
                <w:sz w:val="24"/>
                <w:szCs w:val="24"/>
              </w:rPr>
              <w:t xml:space="preserve"> за реализацию: </w:t>
            </w: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управление потребительского рынка, бытовых услуг и защиты прав потребителей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 — 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4.1.1.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 xml:space="preserve">1. Популяризация </w:t>
            </w:r>
            <w:r>
              <w:rPr>
                <w:sz w:val="24"/>
                <w:szCs w:val="24"/>
              </w:rPr>
              <w:t xml:space="preserve">предпринима-тельской</w:t>
            </w:r>
            <w:r>
              <w:rPr>
                <w:sz w:val="24"/>
                <w:szCs w:val="24"/>
              </w:rPr>
              <w:t xml:space="preserve">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Обеспечить участие субъектов МСП в конкурсах </w:t>
            </w:r>
            <w:r>
              <w:rPr>
                <w:sz w:val="24"/>
                <w:szCs w:val="24"/>
              </w:rPr>
              <w:t xml:space="preserve">профессинального</w:t>
            </w:r>
            <w:r>
              <w:rPr>
                <w:sz w:val="24"/>
                <w:szCs w:val="24"/>
              </w:rPr>
              <w:t xml:space="preserve"> мастерства,                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«</w:t>
            </w:r>
            <w:r>
              <w:rPr>
                <w:sz w:val="24"/>
                <w:szCs w:val="24"/>
              </w:rPr>
              <w:t xml:space="preserve">Губкинский</w:t>
            </w:r>
            <w:r>
              <w:rPr>
                <w:sz w:val="24"/>
                <w:szCs w:val="24"/>
              </w:rPr>
              <w:t xml:space="preserve"> предприниматель»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142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</w:t>
            </w:r>
            <w:r>
              <w:rPr>
                <w:sz w:val="24"/>
                <w:szCs w:val="24"/>
              </w:rPr>
              <w:t xml:space="preserve">вклю</w:t>
            </w:r>
            <w:r>
              <w:rPr>
                <w:sz w:val="24"/>
                <w:szCs w:val="24"/>
              </w:rPr>
              <w:t xml:space="preserve">-чая</w:t>
            </w:r>
            <w:r>
              <w:rPr>
                <w:sz w:val="24"/>
                <w:szCs w:val="24"/>
              </w:rPr>
              <w:t xml:space="preserve"> индивидуальных предпринимателей и </w:t>
            </w:r>
            <w:r>
              <w:rPr>
                <w:sz w:val="24"/>
                <w:szCs w:val="24"/>
              </w:rPr>
              <w:t xml:space="preserve">самозанятых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4.1.2.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 xml:space="preserve">2. Создание условий для вовлечения граждан в предпринимательскую деятельность и комфортного ведения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Гражданам, желающим вести бизнес, начинающим и действующим </w:t>
            </w:r>
            <w:r>
              <w:rPr>
                <w:sz w:val="24"/>
                <w:szCs w:val="24"/>
              </w:rPr>
              <w:t xml:space="preserve">предпринимате-лям</w:t>
            </w:r>
            <w:r>
              <w:rPr>
                <w:sz w:val="24"/>
                <w:szCs w:val="24"/>
              </w:rPr>
              <w:t xml:space="preserve"> предоставлен комплекс услуг, </w:t>
            </w:r>
            <w:r>
              <w:rPr>
                <w:sz w:val="24"/>
                <w:szCs w:val="24"/>
              </w:rPr>
              <w:t xml:space="preserve">направ</w:t>
            </w:r>
            <w:r>
              <w:rPr>
                <w:sz w:val="24"/>
                <w:szCs w:val="24"/>
              </w:rPr>
              <w:t xml:space="preserve">-ленных на вовлечение в предпринимательскую </w:t>
            </w:r>
            <w:r>
              <w:rPr>
                <w:sz w:val="24"/>
                <w:szCs w:val="24"/>
              </w:rPr>
              <w:t xml:space="preserve">деятельность, а также информационно-консультационных и образовательных услуг в офлайн формате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142" w:right="72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субъектов МСП.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</w:t>
            </w:r>
            <w:r>
              <w:rPr>
                <w:sz w:val="24"/>
                <w:szCs w:val="24"/>
              </w:rPr>
              <w:t xml:space="preserve">вклю</w:t>
            </w:r>
            <w:r>
              <w:rPr>
                <w:sz w:val="24"/>
                <w:szCs w:val="24"/>
              </w:rPr>
              <w:t xml:space="preserve">-чая</w:t>
            </w:r>
            <w:r>
              <w:rPr>
                <w:sz w:val="24"/>
                <w:szCs w:val="24"/>
              </w:rPr>
              <w:t xml:space="preserve"> индивидуальных предпринимателей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самозанятых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spacing w:line="283" w:lineRule="atLeast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83" w:lineRule="atLeast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83" w:lineRule="atLeast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83" w:lineRule="atLeast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Финансовое обеспечение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5838" w:type="dxa"/>
        <w:tblInd w:w="-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top w:w="33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3"/>
        <w:gridCol w:w="1547"/>
        <w:gridCol w:w="1037"/>
        <w:gridCol w:w="1037"/>
        <w:gridCol w:w="1037"/>
        <w:gridCol w:w="1037"/>
        <w:gridCol w:w="1037"/>
        <w:gridCol w:w="1029"/>
        <w:gridCol w:w="1137"/>
      </w:tblGrid>
      <w:tr>
        <w:tblPrEx/>
        <w:trPr>
          <w:trHeight w:val="277"/>
        </w:trPr>
        <w:tc>
          <w:tcPr>
            <w:shd w:val="clear" w:color="ffffff" w:fill="ffffff"/>
            <w:tcBorders>
              <w:bottom w:val="non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ind w:left="81" w:firstLine="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81" w:firstLine="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1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637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муниципальной программы, структурного элемента муниципальной программы,  источник финансового обеспечения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ind w:right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Код </w:t>
            </w:r>
            <w:r>
              <w:rPr>
                <w:b/>
                <w:bCs/>
                <w:sz w:val="24"/>
                <w:szCs w:val="24"/>
              </w:rPr>
              <w:t xml:space="preserve">бюджетной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классифика-ции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shd w:val="clear" w:color="ffffff" w:fill="ffffff"/>
            <w:tcBorders>
              <w:bottom w:val="single" w:color="auto" w:sz="4" w:space="0"/>
            </w:tcBorders>
            <w:tcW w:w="7351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 финансового обеспечения по годам, тыс. рублей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21"/>
        </w:trPr>
        <w:tc>
          <w:tcPr>
            <w:shd w:val="clear" w:color="ffffff" w:fill="ffffff"/>
            <w:tcBorders>
              <w:bottom w:val="non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6373" w:type="dxa"/>
            <w:vMerge w:val="continue"/>
            <w:textDirection w:val="lrTb"/>
            <w:noWrap w:val="false"/>
          </w:tcPr>
          <w:p>
            <w:pPr>
              <w:spacing w:after="123"/>
            </w:pPr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54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2026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2027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2028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2029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29" w:type="dxa"/>
            <w:textDirection w:val="lrTb"/>
            <w:noWrap w:val="false"/>
          </w:tcPr>
          <w:p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2030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5840" w:type="dxa"/>
        <w:tblInd w:w="-706" w:type="dxa"/>
        <w:tblLayout w:type="fixed"/>
        <w:tblCellMar>
          <w:left w:w="0" w:type="dxa"/>
          <w:top w:w="33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5"/>
        <w:gridCol w:w="1547"/>
        <w:gridCol w:w="1037"/>
        <w:gridCol w:w="1037"/>
        <w:gridCol w:w="1037"/>
        <w:gridCol w:w="1037"/>
        <w:gridCol w:w="1037"/>
        <w:gridCol w:w="1029"/>
        <w:gridCol w:w="1137"/>
      </w:tblGrid>
      <w:tr>
        <w:tblPrEx/>
        <w:trPr>
          <w:trHeight w:val="27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Align w:val="center"/>
            <w:textDirection w:val="lrTb"/>
            <w:noWrap w:val="false"/>
          </w:tcPr>
          <w:p>
            <w:pPr>
              <w:ind w:right="3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ind w:right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Align w:val="center"/>
            <w:textDirection w:val="lrTb"/>
            <w:noWrap w:val="false"/>
          </w:tcPr>
          <w:p>
            <w:pPr>
              <w:ind w:left="2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24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«</w:t>
            </w:r>
            <w:r>
              <w:rPr>
                <w:b/>
                <w:bCs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» (всего), в том числе: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0800000000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37 064,0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89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0,0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0,0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145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145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25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37 443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0840000000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37 064,0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89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0,0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0,0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145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145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25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37 443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«Улучшение условий и охран</w:t>
            </w:r>
            <w:r>
              <w:rPr>
                <w:b/>
                <w:bCs/>
                <w:sz w:val="24"/>
                <w:szCs w:val="24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 труда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 городском округе Белгородской области» (всего), в том числе:</w:t>
            </w:r>
            <w:r>
              <w:rPr>
                <w:b/>
                <w:bCs/>
                <w:color w:val="ff0000"/>
                <w:sz w:val="24"/>
                <w:szCs w:val="24"/>
              </w:rPr>
            </w:r>
            <w:r>
              <w:rPr>
                <w:b/>
                <w:b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0840100000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0840129340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«Управление земельными ресурсами и имуществом </w:t>
            </w:r>
            <w:r>
              <w:rPr>
                <w:b/>
                <w:bCs/>
                <w:sz w:val="24"/>
                <w:szCs w:val="24"/>
              </w:rPr>
              <w:t xml:space="preserve">Губкинского</w:t>
            </w:r>
            <w:r>
              <w:rPr>
                <w:b/>
                <w:bCs/>
                <w:sz w:val="24"/>
                <w:szCs w:val="24"/>
              </w:rPr>
              <w:t xml:space="preserve"> городского округа Белгородской области»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(всего)</w:t>
            </w:r>
            <w:r>
              <w:rPr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0840200000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18 404,0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18 404,0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0840229440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18 404,0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18 404,0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программы»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(всего)</w:t>
            </w:r>
            <w:r>
              <w:rPr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b/>
                <w:bCs/>
                <w:color w:val="ff0000"/>
                <w:sz w:val="24"/>
                <w:szCs w:val="24"/>
              </w:rPr>
            </w:r>
            <w:r>
              <w:rPr>
                <w:b/>
                <w:b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0840300000</w:t>
            </w: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7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0840320590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18 515,0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7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18 515,0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-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«Реализация мероприятий по привлечению инвестиций и работе                с инвесторами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»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(всего)</w:t>
            </w:r>
            <w:r>
              <w:rPr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0840400000</w:t>
            </w: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104,0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0840429330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104,0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«Элементы устойчивого развития </w:t>
            </w:r>
            <w:r>
              <w:rPr>
                <w:b/>
                <w:bCs/>
                <w:sz w:val="24"/>
                <w:szCs w:val="24"/>
              </w:rPr>
              <w:t xml:space="preserve">малого и среднего предпринимательства</w:t>
            </w:r>
            <w:r>
              <w:rPr>
                <w:b/>
                <w:bCs/>
                <w:sz w:val="24"/>
                <w:szCs w:val="24"/>
              </w:rPr>
              <w:t xml:space="preserve">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 (всего),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0840500000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58,0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400,0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0840529290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400,0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Приложение № 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к муниципальной программе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I. </w:t>
      </w:r>
      <w:r>
        <w:rPr>
          <w:b/>
          <w:bCs/>
          <w:sz w:val="24"/>
          <w:szCs w:val="24"/>
        </w:rPr>
        <w:t xml:space="preserve">Паспорт комплекса процессных мероприятий «Улучшение условий и охраны труда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области»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(далее - комплекс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keepLines/>
        <w:keepNext/>
        <w:spacing w:before="320" w:after="200"/>
        <w:rPr>
          <w:rFonts w:eastAsia="Arial"/>
          <w:b/>
          <w:bCs/>
          <w:sz w:val="24"/>
          <w:szCs w:val="24"/>
        </w:rPr>
        <w:outlineLvl w:val="3"/>
      </w:pPr>
      <w:r>
        <w:rPr>
          <w:b/>
          <w:bCs/>
          <w:sz w:val="24"/>
          <w:szCs w:val="24"/>
        </w:rPr>
        <w:t xml:space="preserve">1. Общие положения</w:t>
      </w:r>
      <w:r>
        <w:rPr>
          <w:rFonts w:eastAsia="Arial"/>
          <w:b/>
          <w:bCs/>
          <w:sz w:val="24"/>
          <w:szCs w:val="24"/>
        </w:rPr>
      </w:r>
      <w:r>
        <w:rPr>
          <w:rFonts w:eastAsia="Arial"/>
          <w:b/>
          <w:bCs/>
          <w:sz w:val="24"/>
          <w:szCs w:val="24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3"/>
        <w:gridCol w:w="7724"/>
      </w:tblGrid>
      <w:tr>
        <w:tblPrEx/>
        <w:trPr>
          <w:cantSplit/>
        </w:trPr>
        <w:tc>
          <w:tcPr>
            <w:shd w:val="clear" w:color="ffffff" w:fill="ffffff"/>
            <w:tcW w:w="84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4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труду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                                   начальник отдела по труду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4" w:type="dxa"/>
            <w:textDirection w:val="lrTb"/>
            <w:noWrap w:val="false"/>
          </w:tcPr>
          <w:p>
            <w:pPr>
              <w:contextualSpacing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6"/>
          <w:szCs w:val="26"/>
        </w:rPr>
        <w:outlineLvl w:val="0"/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Признак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возраста-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-че-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публикаций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 состоянии условий и охраны труда на территории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Белгородской области, об изменениях в трудовом законодательстве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размещенных в СМИ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труду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труду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  <w:t xml:space="preserve"> в 2026 году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4"/>
      </w:tblGrid>
      <w:tr>
        <w:tblPrEx/>
        <w:trPr>
          <w:trHeight w:val="2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публикаций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 состоянии условий и охраны труда на территории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Белгородской области, об изменениях в трудовом законодательстве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размещенных в СМИ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  <w:outlineLvl w:val="2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36"/>
        </w:numPr>
        <w:jc w:val="center"/>
        <w:rPr>
          <w:b/>
          <w:sz w:val="24"/>
          <w:szCs w:val="24"/>
        </w:rPr>
        <w:outlineLvl w:val="2"/>
      </w:pPr>
      <w:r>
        <w:rPr>
          <w:b/>
          <w:sz w:val="24"/>
          <w:szCs w:val="24"/>
        </w:rPr>
        <w:t xml:space="preserve">Перечень мероприятий (результатов) комплекса процессных мероприятий </w:t>
      </w: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992"/>
        <w:rPr>
          <w:b/>
          <w:sz w:val="24"/>
          <w:szCs w:val="24"/>
        </w:rPr>
        <w:outlineLvl w:val="2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ind w:firstLine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ind w:firstLine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6" w:tooltip="https://login.consultant.ru/link/?req=doc&amp;base=LAW&amp;n=441135" w:history="1">
              <w:r>
                <w:rPr>
                  <w:b/>
                  <w:bCs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611"/>
        </w:trPr>
        <w:tc>
          <w:tcPr>
            <w:tcW w:w="708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2692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</w:tr>
    </w:tbl>
    <w:p>
      <w:pPr>
        <w:rPr>
          <w:b/>
          <w:sz w:val="2"/>
          <w:szCs w:val="2"/>
        </w:rPr>
        <w:outlineLvl w:val="2"/>
      </w:pPr>
      <w:r>
        <w:rPr>
          <w:b/>
          <w:sz w:val="2"/>
          <w:szCs w:val="2"/>
        </w:rPr>
      </w:r>
      <w:r>
        <w:rPr>
          <w:b/>
          <w:sz w:val="2"/>
          <w:szCs w:val="2"/>
        </w:rPr>
      </w:r>
      <w:r>
        <w:rPr>
          <w:b/>
          <w:sz w:val="2"/>
          <w:szCs w:val="2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81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b/>
                <w:bCs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«Организация и проведение Дней охраны труда,  конкурсов по вопросам охраны труда среди хозяйствующих </w:t>
            </w:r>
            <w:r>
              <w:rPr>
                <w:sz w:val="24"/>
                <w:szCs w:val="24"/>
              </w:rPr>
              <w:t xml:space="preserve">субъектов городского округа»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contextualSpacing/>
              <w:ind w:left="142" w:firstLine="0"/>
              <w:jc w:val="both"/>
              <w:spacing w:after="200" w:line="276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публикаций </w:t>
            </w:r>
            <w:r>
              <w:rPr>
                <w:bCs/>
                <w:sz w:val="24"/>
                <w:szCs w:val="24"/>
                <w:lang w:eastAsia="en-US"/>
              </w:rPr>
              <w:t xml:space="preserve">о состоянии условий и охраны труда на территории Губкин-</w:t>
            </w:r>
            <w:r>
              <w:rPr>
                <w:bCs/>
                <w:sz w:val="24"/>
                <w:szCs w:val="24"/>
                <w:lang w:eastAsia="en-US"/>
              </w:rPr>
              <w:t xml:space="preserve">ского</w:t>
            </w:r>
            <w:r>
              <w:rPr>
                <w:bCs/>
                <w:sz w:val="24"/>
                <w:szCs w:val="24"/>
                <w:lang w:eastAsia="en-US"/>
              </w:rPr>
              <w:t xml:space="preserve"> городского округа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Белго-родской</w:t>
            </w:r>
            <w:r>
              <w:rPr>
                <w:bCs/>
                <w:sz w:val="24"/>
                <w:szCs w:val="24"/>
                <w:lang w:eastAsia="en-US"/>
              </w:rPr>
              <w:t xml:space="preserve"> области, об измене-</w:t>
            </w:r>
            <w:r>
              <w:rPr>
                <w:bCs/>
                <w:sz w:val="24"/>
                <w:szCs w:val="24"/>
                <w:lang w:eastAsia="en-US"/>
              </w:rPr>
              <w:t xml:space="preserve">ниях</w:t>
            </w:r>
            <w:r>
              <w:rPr>
                <w:bCs/>
                <w:sz w:val="24"/>
                <w:szCs w:val="24"/>
                <w:lang w:eastAsia="en-US"/>
              </w:rPr>
              <w:t xml:space="preserve"> в трудовом законодатель-</w:t>
            </w:r>
            <w:r>
              <w:rPr>
                <w:bCs/>
                <w:sz w:val="24"/>
                <w:szCs w:val="24"/>
                <w:lang w:eastAsia="en-US"/>
              </w:rPr>
              <w:t xml:space="preserve">стве</w:t>
            </w:r>
            <w:r>
              <w:rPr>
                <w:sz w:val="24"/>
                <w:szCs w:val="24"/>
              </w:rPr>
              <w:t xml:space="preserve">, размещенных в СМИ.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9"/>
              </w:numPr>
              <w:contextualSpacing/>
              <w:ind w:left="142" w:firstLine="0"/>
              <w:jc w:val="both"/>
              <w:spacing w:after="200" w:line="276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bCs/>
                <w:sz w:val="24"/>
                <w:szCs w:val="24"/>
                <w:lang w:eastAsia="en-US"/>
              </w:rPr>
              <w:t xml:space="preserve">Координа-ционных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firstLine="7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мероприятия проведены мероприятия для формирования культуры безопасного </w:t>
            </w:r>
            <w:r>
              <w:rPr>
                <w:sz w:val="24"/>
                <w:szCs w:val="24"/>
              </w:rPr>
              <w:t xml:space="preserve">труда</w:t>
            </w:r>
            <w:r>
              <w:rPr>
                <w:sz w:val="24"/>
                <w:szCs w:val="24"/>
              </w:rPr>
              <w:t xml:space="preserve">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3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0840100000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left="0" w:right="-326" w:firstLine="0"/>
              <w:jc w:val="left"/>
              <w:tabs>
                <w:tab w:val="left" w:pos="709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left="0" w:right="-326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Организация и проведение Дней охраны труда,  конкурсов по вопросам охраны труда среди хозяйствующих субъектов городского округа,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85004120840129340200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85004120840129340200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55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7370"/>
        <w:gridCol w:w="2409"/>
        <w:gridCol w:w="2126"/>
        <w:gridCol w:w="283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0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«Организация и проведение Дней охраны труда, конкурсов по вопросам охраны труда среди хозяйствующих субъектов городского округа»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«Организация и проведение Дней охраны труда, конкурсов по вопросам охраны труда среди хозяйствующих субъектов городского округа» - ежегодно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10.07.2025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1.1.6.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1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1.1.7.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2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10.07.2026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1.1.8.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3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10.10.2026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1.1.9.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4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10.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за 2026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-567" w:right="0" w:firstLine="0"/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none"/>
        </w:rPr>
        <w:t xml:space="preserve">Начальник управления экономики и ценовой политики</w:t>
      </w:r>
      <w:r>
        <w:rPr>
          <w:b/>
          <w:sz w:val="24"/>
          <w:szCs w:val="24"/>
          <w:highlight w:val="none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   О.В. Литвинова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к муниципальной программе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II.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Паспорт комплекса процессных мероприятий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Управление земельными ресурсами и имуществом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Губкинского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городского округа Белгородской области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 xml:space="preserve">(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далее - комплекс процессных мероприятий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68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5158" w:type="pct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294"/>
        <w:gridCol w:w="7722"/>
      </w:tblGrid>
      <w:tr>
        <w:tblPrEx/>
        <w:trPr>
          <w:cantSplit/>
          <w:trHeight w:val="1340"/>
        </w:trPr>
        <w:tc>
          <w:tcPr>
            <w:shd w:val="clear" w:color="ffffff" w:fill="ffffff"/>
            <w:tcW w:w="8294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администрации </w:t>
            </w:r>
            <w:r>
              <w:rPr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sz w:val="24"/>
                <w:szCs w:val="24"/>
                <w:highlight w:val="white"/>
              </w:rPr>
              <w:t xml:space="preserve"> городского округа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722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Комитет по управлению муниципальной собственностью администрации </w:t>
            </w:r>
            <w:r>
              <w:rPr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sz w:val="24"/>
                <w:szCs w:val="24"/>
                <w:highlight w:val="white"/>
              </w:rPr>
              <w:t xml:space="preserve"> городского округа, председатель комитета по управлению муниципальной собственностью</w:t>
            </w:r>
            <w:r>
              <w:rPr>
                <w:sz w:val="24"/>
                <w:szCs w:val="24"/>
              </w:rPr>
              <w:t xml:space="preserve">,</w:t>
            </w:r>
            <w:r>
              <w:t xml:space="preserve">  </w:t>
            </w:r>
            <w:r>
              <w:rPr>
                <w:sz w:val="24"/>
                <w:szCs w:val="24"/>
              </w:rPr>
              <w:t xml:space="preserve">МКУ «Управление капитального строительства», директор </w:t>
            </w:r>
            <w:r>
              <w:rPr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982"/>
        </w:trPr>
        <w:tc>
          <w:tcPr>
            <w:shd w:val="clear" w:color="ffffff" w:fill="ffffff"/>
            <w:tcW w:w="8294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722" w:type="dxa"/>
            <w:textDirection w:val="lrTb"/>
            <w:noWrap w:val="false"/>
          </w:tcPr>
          <w:p>
            <w:pPr>
              <w:pStyle w:val="1085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pPr w:horzAnchor="text" w:tblpX="-709" w:vertAnchor="text" w:tblpY="1" w:leftFromText="180" w:topFromText="0" w:rightFromText="180" w:bottomFromText="0"/>
        <w:tblW w:w="16157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Признак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возраста-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-че-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"/>
          <w:szCs w:val="2"/>
        </w:rPr>
        <w:outlineLvl w:val="0"/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Style w:val="920"/>
        <w:tblW w:w="1615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27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проекта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рекуль-тивации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(снятие и использование плодородного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слоя почвы)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Комитет по управлению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ной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объектов муниципального имущества по договорам аренды и купли-продажи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КПМ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267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265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Комитет по управлению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-ной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земельных участков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КПМ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1608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Комитет по управлению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-ной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5"/>
        <w:ind w:left="34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3.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095" w:type="dxa"/>
        <w:tblInd w:w="-6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7"/>
        <w:gridCol w:w="2691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64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Единица измерения (по </w:t>
            </w:r>
            <w:hyperlink r:id="rId17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  <w:highlight w:val="white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647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2691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</w:tbl>
    <w:p>
      <w:pPr>
        <w:pStyle w:val="1068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095" w:type="dxa"/>
        <w:tblInd w:w="-6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7"/>
        <w:gridCol w:w="2691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8"/>
          <w:tblHeader/>
        </w:trPr>
        <w:tc>
          <w:tcPr>
            <w:tcW w:w="64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5"/>
        </w:trPr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448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b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b/>
                <w:sz w:val="24"/>
                <w:szCs w:val="24"/>
                <w:highlight w:val="white"/>
              </w:rPr>
              <w:t xml:space="preserve">         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30"/>
        </w:trPr>
        <w:tc>
          <w:tcPr>
            <w:tcW w:w="64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«Мероприятия по проведению рекультивации несанкционированных карьеров»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Подготовка проекта </w:t>
            </w:r>
            <w:r>
              <w:rPr>
                <w:sz w:val="24"/>
                <w:szCs w:val="24"/>
              </w:rPr>
              <w:t xml:space="preserve">рекуль-тивации</w:t>
            </w:r>
            <w:r>
              <w:rPr>
                <w:sz w:val="24"/>
                <w:szCs w:val="24"/>
              </w:rPr>
              <w:t xml:space="preserve"> (снятие и использование плодородного слоя почвы)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spacing w:line="259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330"/>
        </w:trPr>
        <w:tc>
          <w:tcPr>
            <w:tcW w:w="647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224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222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Предоставление объектов муниципального имущества по договорам аренды и купли-продажи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54"/>
        </w:trPr>
        <w:tc>
          <w:tcPr>
            <w:tcW w:w="647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оценки»</w:t>
            </w: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4844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Предоставление земельных участков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8"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0"/>
        </w:trPr>
        <w:tc>
          <w:tcPr>
            <w:gridSpan w:val="13"/>
            <w:tcW w:w="16095" w:type="dxa"/>
            <w:vMerge w:val="restart"/>
            <w:textDirection w:val="lrTb"/>
            <w:noWrap w:val="false"/>
          </w:tcPr>
          <w:p>
            <w:pPr>
              <w:ind w:left="80" w:right="156" w:firstLine="80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Реализация комплекса процессных мероприятий (в том числе заключение договоров аренды и купли-продажи муниципального имущества и земельных участков, снос брошенных домовладений, оценка рыночной с</w:t>
            </w:r>
            <w:r>
              <w:rPr>
                <w:sz w:val="24"/>
                <w:szCs w:val="24"/>
                <w:highlight w:val="white"/>
              </w:rPr>
              <w:t xml:space="preserve">тоимости объектов муниципальной собственности и земельных участков, подготовка технической документации, выкуп объектов частной фо</w:t>
            </w:r>
            <w:r>
              <w:rPr>
                <w:sz w:val="24"/>
                <w:szCs w:val="24"/>
                <w:highlight w:val="white"/>
              </w:rPr>
              <w:t xml:space="preserve">рмы собственности в целях реализации функций и полномочий органов местного самоуправления) направлена на реализацию конституционных норм и гарантий прав собственности на землю и иную недвижимость</w:t>
            </w:r>
            <w:r>
              <w:rPr>
                <w:sz w:val="24"/>
                <w:szCs w:val="24"/>
                <w:highlight w:val="white"/>
              </w:rPr>
              <w:t xml:space="preserve">, активизацию                                                              вовлечения земли и имуще</w:t>
            </w:r>
            <w:r>
              <w:rPr>
                <w:sz w:val="24"/>
                <w:szCs w:val="24"/>
                <w:highlight w:val="white"/>
              </w:rPr>
              <w:t xml:space="preserve">ства в гражданский оборот,  формирование базы экономически обоснованного налогообложения,                                                                    а также совершенствование системы управления  земельными участками и имуществом, находящимися в мун</w:t>
            </w:r>
            <w:r>
              <w:rPr>
                <w:sz w:val="24"/>
                <w:szCs w:val="24"/>
                <w:highlight w:val="white"/>
              </w:rPr>
              <w:t xml:space="preserve">иципальной                                                        собственности, что приведет к рациональному использованию и эффективному управлению муниципальной собственностью (имущество                                               и земельные участки)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highlight w:val="none"/>
        </w:rPr>
        <w:t xml:space="preserve">4</w:t>
      </w:r>
      <w:r>
        <w:rPr>
          <w:b/>
          <w:bCs/>
          <w:sz w:val="24"/>
          <w:szCs w:val="24"/>
          <w:highlight w:val="white"/>
        </w:rPr>
        <w:t xml:space="preserve">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1134"/>
        <w:gridCol w:w="992"/>
        <w:gridCol w:w="992"/>
        <w:gridCol w:w="1134"/>
        <w:gridCol w:w="1134"/>
        <w:gridCol w:w="1134"/>
        <w:gridCol w:w="1166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1134"/>
        <w:gridCol w:w="992"/>
        <w:gridCol w:w="992"/>
        <w:gridCol w:w="1134"/>
        <w:gridCol w:w="1134"/>
        <w:gridCol w:w="1134"/>
        <w:gridCol w:w="1166"/>
      </w:tblGrid>
      <w:tr>
        <w:tblPrEx/>
        <w:trPr>
          <w:trHeight w:val="20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0840200000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18 404,0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18 404,0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18 404,0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18 404,0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                    по проведению рекультивации несанкционированных карьеров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                 </w:t>
            </w:r>
            <w: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  <w:t xml:space="preserve">86006050840221410200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86006050840221410200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  <w:t xml:space="preserve">85504120840229440200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86004120840229440200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17 974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17 974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val="en-US"/>
              </w:rPr>
              <w:t xml:space="preserve">85504120840229440200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86004120840229440200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17 974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17 974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86004120840229450200,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86004120840229450800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86004120840229450200,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86004120840229450800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>
        <w:rPr>
          <w:b/>
          <w:bCs/>
          <w:sz w:val="24"/>
          <w:szCs w:val="24"/>
        </w:rPr>
        <w:t xml:space="preserve">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highlight w:val="white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  <w:highlight w:val="white"/>
        </w:rPr>
        <w:t xml:space="preserve">2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6236"/>
        <w:gridCol w:w="1984"/>
        <w:gridCol w:w="4252"/>
        <w:gridCol w:w="272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6236"/>
        <w:gridCol w:w="1984"/>
        <w:gridCol w:w="4252"/>
        <w:gridCol w:w="272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9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 по проведению рекультивации несанкционированных карьеров»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 по проведению рекультивации несанкционированных карьеров» - 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20.07.2025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- ежегодно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20.04.2025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1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20.07.2025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2.1.3.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20.10.2025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2.1.4.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.01.2026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- ежегодно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земель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20.04.2025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                      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20.07.2025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                              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20.10.2025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                                     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01.2026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                      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                              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-709" w:right="0" w:firstLine="0"/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none"/>
        </w:rPr>
        <w:t xml:space="preserve"> Начальник управления экономики и ценовой политики</w:t>
      </w:r>
      <w:r>
        <w:rPr>
          <w:b/>
          <w:sz w:val="24"/>
          <w:szCs w:val="24"/>
          <w:highlight w:val="none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   О.В. Литвинова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к муниципальной программе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</w:rPr>
        <w:t xml:space="preserve">I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II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Паспорт комплекса процессных мероприятий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«Обеспечение реализации муниципальной программы»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</w:rPr>
        <w:t xml:space="preserve">(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далее - комплекс процессных мероприятий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58"/>
        <w:gridCol w:w="7669"/>
      </w:tblGrid>
      <w:tr>
        <w:tblPrEx/>
        <w:trPr>
          <w:cantSplit/>
        </w:trPr>
        <w:tc>
          <w:tcPr>
            <w:shd w:val="clear" w:color="ffffff" w:fill="ffffff"/>
            <w:tcW w:w="8457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администрации </w:t>
            </w:r>
            <w:r>
              <w:rPr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sz w:val="24"/>
                <w:szCs w:val="24"/>
                <w:highlight w:val="white"/>
              </w:rPr>
              <w:t xml:space="preserve"> городского округа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669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МКУ «Единая служба муниципальной недвижимости и земельных ресурсов», директор МКУ «Единая служба муниципальной недвижимости и земельных ресурсов»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57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669" w:type="dxa"/>
            <w:textDirection w:val="lrTb"/>
            <w:noWrap w:val="false"/>
          </w:tcPr>
          <w:p>
            <w:pPr>
              <w:pStyle w:val="1085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2.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Единица измерения (по </w:t>
            </w:r>
            <w:hyperlink r:id="rId18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  <w:highlight w:val="white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82"/>
        </w:trPr>
        <w:tc>
          <w:tcPr>
            <w:tcW w:w="708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2692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1068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</w:tbl>
    <w:p>
      <w:pPr>
        <w:pStyle w:val="1068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90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83" w:lineRule="exact"/>
              <w:tabs>
                <w:tab w:val="right" w:pos="3402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right" w:pos="3419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Задача 1. «Реализация комплекса процессных мероприятий по кадастровой деятельности, землеустройству и землепользованию»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88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</w:t>
            </w:r>
            <w:r>
              <w:rPr>
                <w:sz w:val="24"/>
                <w:szCs w:val="24"/>
                <w:highlight w:val="white"/>
              </w:rPr>
              <w:t xml:space="preserve">подведомствен-</w:t>
            </w:r>
            <w:r>
              <w:rPr>
                <w:sz w:val="24"/>
                <w:szCs w:val="24"/>
                <w:highlight w:val="white"/>
              </w:rPr>
              <w:t xml:space="preserve">ных</w:t>
            </w:r>
            <w:r>
              <w:rPr>
                <w:sz w:val="24"/>
                <w:szCs w:val="24"/>
                <w:highlight w:val="white"/>
              </w:rPr>
              <w:t xml:space="preserve"> учреждений (организаций)</w:t>
            </w:r>
            <w:r>
              <w:rPr>
                <w:sz w:val="24"/>
                <w:szCs w:val="24"/>
                <w:highlight w:val="white"/>
              </w:rPr>
              <w:t xml:space="preserve">, в том числе предоставление муниципальным бюджетным и автономным учреждениям субсидий</w:t>
            </w:r>
            <w:r>
              <w:rPr>
                <w:sz w:val="24"/>
                <w:szCs w:val="24"/>
                <w:highlight w:val="white"/>
              </w:rPr>
              <w:t xml:space="preserve">»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52"/>
        </w:trPr>
        <w:tc>
          <w:tcPr>
            <w:tcW w:w="70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r>
          </w:p>
        </w:tc>
        <w:tc>
          <w:tcPr>
            <w:gridSpan w:val="12"/>
            <w:tcW w:w="15449" w:type="dxa"/>
            <w:textDirection w:val="lrTb"/>
            <w:noWrap w:val="false"/>
          </w:tcPr>
          <w:p>
            <w:pPr>
              <w:pStyle w:val="1068"/>
              <w:ind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Реализация мероприятия предусматривает организацию и проведение кадастровых и землеустроительных работ на территории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городского округа Белгородской обла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«Единая служба муниципальной недвижимости и земельных ресурсов»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72"/>
        <w:numPr>
          <w:ilvl w:val="0"/>
          <w:numId w:val="38"/>
        </w:numPr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Финансовое обеспечение реализации комплекса процессных мероприятий 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3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165"/>
        <w:gridCol w:w="1134"/>
        <w:gridCol w:w="1134"/>
        <w:gridCol w:w="1134"/>
        <w:gridCol w:w="1134"/>
        <w:gridCol w:w="1134"/>
        <w:gridCol w:w="1276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165"/>
        <w:gridCol w:w="1134"/>
        <w:gridCol w:w="1134"/>
        <w:gridCol w:w="1134"/>
        <w:gridCol w:w="1103"/>
        <w:gridCol w:w="1165"/>
        <w:gridCol w:w="1276"/>
      </w:tblGrid>
      <w:tr>
        <w:tblPrEx/>
        <w:trPr>
          <w:trHeight w:val="35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6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0840300000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1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(организаций)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85704120840320590100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85704120840320590200,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85704120840320590800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85704120840320590100,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85704120840320590200,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85704120840320590800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</w:t>
      </w:r>
      <w:r>
        <w:rPr>
          <w:b/>
          <w:bCs/>
          <w:sz w:val="24"/>
          <w:szCs w:val="24"/>
        </w:rPr>
        <w:t xml:space="preserve"> 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</w:t>
      </w:r>
      <w:r>
        <w:rPr>
          <w:b/>
          <w:bCs/>
          <w:sz w:val="24"/>
          <w:szCs w:val="24"/>
        </w:rPr>
        <w:t xml:space="preserve">к паспорту комплекса процессных мероприятий </w:t>
      </w:r>
      <w:r>
        <w:rPr>
          <w:b/>
          <w:bCs/>
          <w:sz w:val="24"/>
          <w:szCs w:val="24"/>
        </w:rPr>
        <w:t xml:space="preserve">3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green"/>
        </w:rPr>
        <w:outlineLvl w:val="0"/>
      </w:pP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</w:p>
    <w:p>
      <w:pPr>
        <w:jc w:val="center"/>
        <w:rPr>
          <w:b/>
          <w:bCs/>
          <w:sz w:val="24"/>
          <w:szCs w:val="24"/>
          <w:highlight w:val="green"/>
        </w:rPr>
        <w:outlineLvl w:val="0"/>
      </w:pP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</w:p>
    <w:p>
      <w:pPr>
        <w:jc w:val="center"/>
        <w:rPr>
          <w:b/>
          <w:bCs/>
          <w:sz w:val="24"/>
          <w:szCs w:val="24"/>
          <w:highlight w:val="green"/>
        </w:rPr>
        <w:outlineLvl w:val="0"/>
      </w:pP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  <w:highlight w:val="white"/>
        </w:rPr>
        <w:t xml:space="preserve">3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920"/>
        <w:tblW w:w="157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7795"/>
        <w:gridCol w:w="1984"/>
        <w:gridCol w:w="2126"/>
        <w:gridCol w:w="297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920"/>
        <w:tblW w:w="157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7795"/>
        <w:gridCol w:w="1984"/>
        <w:gridCol w:w="2126"/>
        <w:gridCol w:w="297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2" w:type="dxa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Задача 1. «Реализация комплекса процессных мероприятий по кадастровой деятельности, землеустройству и землепользованию»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(организаций)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предоставление муниципальным бюджетным и автономным учреждениям субсидий»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(организаций)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предоставление муниципальным бюджетным и автономным учреждениям субсидий»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- ежегодно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20.04.2025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2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20.07.2025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недвижимости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20.10.2025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20.01.2026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1.1.5.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.02.2026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567" w:right="0" w:firstLine="0"/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none"/>
        </w:rPr>
        <w:t xml:space="preserve">Начальник управления экономики и ценовой политики</w:t>
      </w:r>
      <w:r>
        <w:rPr>
          <w:b/>
          <w:sz w:val="24"/>
          <w:szCs w:val="24"/>
          <w:highlight w:val="none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     О.В. Литвинова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5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к муниципальной программе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-709" w:right="2"/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lang w:val="en-US"/>
        </w:rPr>
        <w:t xml:space="preserve">IV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Паспорт комплекса процессных мероприятий «Реализация мероприятий по привлечению инвестиций и работе с инвесторами                                          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области» (далее - комплекс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6"/>
        <w:ind w:left="-709" w:right="-879"/>
        <w:jc w:val="center"/>
        <w:spacing w:before="0" w:beforeAutospacing="0" w:after="0" w:afterAutospac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 Общие положения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before="0" w:beforeAutospacing="0" w:after="0" w:afterAutospacing="0"/>
      </w:pPr>
      <w:r/>
      <w:r/>
    </w:p>
    <w:tbl>
      <w:tblPr>
        <w:tblW w:w="5193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3"/>
        <w:gridCol w:w="7721"/>
      </w:tblGrid>
      <w:tr>
        <w:tblPrEx/>
        <w:trPr>
          <w:cantSplit/>
        </w:trPr>
        <w:tc>
          <w:tcPr>
            <w:shd w:val="clear" w:color="ffffff" w:fill="ffffff"/>
            <w:tcW w:w="8403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1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начальник управления экономики                   и ценовой политики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03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1" w:type="dxa"/>
            <w:textDirection w:val="lrTb"/>
            <w:noWrap w:val="false"/>
          </w:tcPr>
          <w:p>
            <w:pPr>
              <w:pStyle w:val="1085"/>
              <w:contextualSpacing/>
              <w:ind w:left="1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81"/>
        <w:jc w:val="center"/>
        <w:tabs>
          <w:tab w:val="left" w:pos="6510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81"/>
        <w:jc w:val="center"/>
        <w:tabs>
          <w:tab w:val="left" w:pos="6510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708"/>
        <w:gridCol w:w="992"/>
        <w:gridCol w:w="992"/>
        <w:gridCol w:w="992"/>
        <w:gridCol w:w="992"/>
        <w:gridCol w:w="992"/>
        <w:gridCol w:w="993"/>
        <w:gridCol w:w="1276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ind w:right="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дости-жение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9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rPr>
          <w:b/>
          <w:bCs/>
          <w:sz w:val="2"/>
          <w:szCs w:val="2"/>
        </w:rPr>
        <w:outlineLvl w:val="0"/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708"/>
        <w:gridCol w:w="992"/>
        <w:gridCol w:w="992"/>
        <w:gridCol w:w="992"/>
        <w:gridCol w:w="992"/>
        <w:gridCol w:w="992"/>
        <w:gridCol w:w="993"/>
        <w:gridCol w:w="127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инвесторов, привлеченных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реализа-ции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инвестици-онных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инвести-ций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развития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малого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консультаций инвесторов в рамках сопровождения (решения вопросов при реализации проектов, содействие в получении мер государственной и региональной поддержки)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инвести-ций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развития малого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результате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инвестицион-ных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Млн. рублей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3103,5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3134,5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3269,3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3409,8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3556,4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3716,4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3902,2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инвести-ций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развития малого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72"/>
        <w:numPr>
          <w:ilvl w:val="0"/>
          <w:numId w:val="37"/>
        </w:numPr>
        <w:ind w:right="-879"/>
        <w:jc w:val="center"/>
        <w:rPr>
          <w:rFonts w:ascii="Times New Roman" w:hAnsi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/>
          <w:b/>
          <w:bCs/>
          <w:sz w:val="24"/>
          <w:szCs w:val="24"/>
        </w:rPr>
        <w:t xml:space="preserve">Помесячный план достижения показателей комплекса процессных мероприятий </w:t>
      </w:r>
      <w:r>
        <w:rPr>
          <w:rFonts w:ascii="Times New Roman" w:hAnsi="Times New Roman"/>
          <w:b/>
          <w:bCs/>
          <w:sz w:val="24"/>
          <w:szCs w:val="24"/>
        </w:rPr>
        <w:t xml:space="preserve">4</w:t>
      </w:r>
      <w:r>
        <w:rPr>
          <w:rFonts w:ascii="Times New Roman" w:hAnsi="Times New Roman"/>
          <w:b/>
          <w:bCs/>
          <w:sz w:val="24"/>
          <w:szCs w:val="24"/>
        </w:rPr>
        <w:t xml:space="preserve"> в 2026 году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710"/>
        <w:gridCol w:w="990"/>
        <w:gridCol w:w="850"/>
        <w:gridCol w:w="850"/>
        <w:gridCol w:w="995"/>
        <w:gridCol w:w="705"/>
        <w:gridCol w:w="812"/>
        <w:gridCol w:w="1035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7" w:type="dxa"/>
            <w:textDirection w:val="lrTb"/>
            <w:noWrap w:val="false"/>
          </w:tcPr>
          <w:p>
            <w:pPr>
              <w:ind w:right="2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2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ind w:left="113" w:right="113"/>
              <w:tabs>
                <w:tab w:val="left" w:pos="709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ind w:right="-879"/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710"/>
        <w:gridCol w:w="990"/>
        <w:gridCol w:w="850"/>
        <w:gridCol w:w="850"/>
        <w:gridCol w:w="995"/>
        <w:gridCol w:w="705"/>
        <w:gridCol w:w="812"/>
        <w:gridCol w:w="1035"/>
      </w:tblGrid>
      <w:tr>
        <w:tblPrEx/>
        <w:trPr>
          <w:trHeight w:val="28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90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инвесто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-ров,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привлеченных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реализации новых ин-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вестиционных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консультаций ин-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сопровождения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реше-ния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вопросов при реализации проектов, содействие в получении мер государственной и региональной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поддерж-ки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реализации ин-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вестиционных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проек-тов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Млн. рублей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817,3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1634,6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2452,1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3269,3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</w:tr>
    </w:tbl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-709" w:right="-881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9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</w:tr>
    </w:tbl>
    <w:p>
      <w:pPr>
        <w:pStyle w:val="1068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03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87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b/>
                <w:bCs/>
                <w:color w:val="ff0000"/>
                <w:sz w:val="24"/>
                <w:szCs w:val="24"/>
              </w:rPr>
            </w:r>
            <w:r>
              <w:rPr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1587"/>
        </w:trPr>
        <w:tc>
          <w:tcPr>
            <w:tcW w:w="70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sz w:val="24"/>
                <w:szCs w:val="24"/>
                <w:lang w:eastAsia="en-US"/>
              </w:rPr>
              <w:t xml:space="preserve"> городского округа Белгородской области»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Оказание услуг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072"/>
              <w:numPr>
                <w:ilvl w:val="0"/>
                <w:numId w:val="35"/>
              </w:numPr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инвесторов, привлеченных к реализации новых инвестиционных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35"/>
              </w:numPr>
              <w:ind w:left="142" w:firstLine="0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консультаций инвесторов в рамках сопровождения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реше-ния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вопросов при реализации проектов, содействие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получе-нии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 государственной и региональной поддержки).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72"/>
              <w:numPr>
                <w:ilvl w:val="0"/>
                <w:numId w:val="35"/>
              </w:numPr>
              <w:ind w:left="142" w:firstLine="0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результате реализации инвестиционных проектов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Организованы мероприятия информационного характера, включающие публикацию статей о субъектах МСП в СМИ, размещение информационных </w:t>
            </w:r>
            <w:r>
              <w:rPr>
                <w:sz w:val="24"/>
                <w:szCs w:val="24"/>
              </w:rPr>
              <w:t xml:space="preserve">банеров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1"/>
      </w:tblGrid>
      <w:tr>
        <w:tblPrEx/>
        <w:trPr>
          <w:trHeight w:val="53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4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"/>
          <w:szCs w:val="2"/>
        </w:rPr>
        <w:outlineLvl w:val="0"/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Style w:val="920"/>
        <w:tblW w:w="1615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1"/>
      </w:tblGrid>
      <w:tr>
        <w:tblPrEx/>
        <w:trPr>
          <w:trHeight w:val="30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0840400000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Мероприятия по привлечению инвестиций                         в экономику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85004120840429330200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85004120840429330200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  <w:lang w:val="en-US"/>
        </w:rPr>
        <w:outlineLvl w:val="0"/>
      </w:pP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  <w:lang w:val="en-US"/>
        </w:rPr>
        <w:outlineLvl w:val="0"/>
      </w:pP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tabs>
          <w:tab w:val="left" w:pos="12472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</w:t>
      </w:r>
      <w:r>
        <w:rPr>
          <w:b/>
          <w:bCs/>
          <w:sz w:val="24"/>
          <w:szCs w:val="24"/>
        </w:rPr>
        <w:t xml:space="preserve"> 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55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2"/>
        <w:gridCol w:w="5528"/>
        <w:gridCol w:w="2126"/>
        <w:gridCol w:w="4108"/>
        <w:gridCol w:w="283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8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городского округа Белгородской области»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городского округа Белгородской области» - ежегодно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за 1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 за 2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10.07.2025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за 3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за 4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                              за 2025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за 1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 за 2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10.07.2026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за 3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10.10.2026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1.1.9.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за 4 квартал 2026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1.1.10.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                              за 2026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0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-567" w:right="0" w:firstLine="0"/>
        <w:jc w:val="left"/>
        <w:rPr>
          <w:b/>
          <w:bCs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none"/>
        </w:rPr>
        <w:t xml:space="preserve">Начальник управления экономики и ценовой политики</w:t>
      </w:r>
      <w:r>
        <w:rPr>
          <w:b/>
          <w:sz w:val="24"/>
          <w:szCs w:val="24"/>
          <w:highlight w:val="none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   О.В. Литвинова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  <w:outlineLvl w:val="0"/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1080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Приложение №</w:t>
      </w:r>
      <w:r>
        <w:rPr>
          <w:b/>
          <w:bCs/>
          <w:sz w:val="24"/>
          <w:szCs w:val="24"/>
        </w:rPr>
        <w:t xml:space="preserve"> 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 xml:space="preserve">    к муниципальной программе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lang w:val="en-US"/>
        </w:rPr>
        <w:t xml:space="preserve">V</w:t>
      </w:r>
      <w:r>
        <w:rPr>
          <w:b/>
          <w:bCs/>
          <w:sz w:val="24"/>
          <w:szCs w:val="24"/>
        </w:rPr>
        <w:t xml:space="preserve">. Паспорт комплекса процессных мероприятий «Элементы устойчивого развития </w:t>
      </w:r>
      <w:r>
        <w:rPr>
          <w:b/>
          <w:bCs/>
          <w:sz w:val="24"/>
          <w:szCs w:val="24"/>
        </w:rPr>
        <w:t xml:space="preserve">малого и среднего </w:t>
      </w:r>
      <w:r>
        <w:rPr>
          <w:b/>
          <w:bCs/>
          <w:sz w:val="24"/>
          <w:szCs w:val="24"/>
        </w:rPr>
        <w:t xml:space="preserve">предпринимательства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области»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(далее - комплекс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6"/>
        <w:ind w:right="-87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 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02"/>
        <w:gridCol w:w="8425"/>
      </w:tblGrid>
      <w:tr>
        <w:tblPrEx/>
        <w:trPr>
          <w:cantSplit/>
        </w:trPr>
        <w:tc>
          <w:tcPr>
            <w:shd w:val="clear" w:color="ffffff" w:fill="ffffff"/>
            <w:tcW w:w="77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8424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начальник управления экономики и ценовой политики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77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8424" w:type="dxa"/>
            <w:textDirection w:val="lrTb"/>
            <w:noWrap w:val="false"/>
          </w:tcPr>
          <w:p>
            <w:pPr>
              <w:pStyle w:val="1085"/>
              <w:contextualSpacing/>
              <w:ind w:left="1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81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851"/>
        <w:gridCol w:w="992"/>
        <w:gridCol w:w="992"/>
        <w:gridCol w:w="849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851"/>
        <w:gridCol w:w="992"/>
        <w:gridCol w:w="992"/>
        <w:gridCol w:w="849"/>
        <w:gridCol w:w="850"/>
        <w:gridCol w:w="850"/>
        <w:gridCol w:w="852"/>
        <w:gridCol w:w="170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размещенных статей о предпринимателях – победителях конкурсов, добившихся наилучших финансово-экономических показателей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инвестиций            и развития малого бизнеса, 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потребитель-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рынка  и бытовых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-но-консультационных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 в офлайн формате гражданам, желающим вести бизнес, начинающим и действу-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предпринимателям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инвестиций            и развития малого бизнеса, 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потребитель-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рынка   и бытовых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  <w:t xml:space="preserve"> в 2026 году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2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90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размещенных статей о предпринимателях – победителях конкурсов, добившихся наилучших финансово-экономических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показателей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информа-ционно-консультацион-ных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образовательных услуг в офлайн формате гражданам, желающим вести бизнес,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начинаю-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действующим предпринимателям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5"/>
        <w:ind w:left="-70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8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88"/>
        <w:gridCol w:w="3238"/>
        <w:gridCol w:w="1701"/>
        <w:gridCol w:w="1276"/>
        <w:gridCol w:w="992"/>
        <w:gridCol w:w="709"/>
        <w:gridCol w:w="709"/>
        <w:gridCol w:w="709"/>
        <w:gridCol w:w="709"/>
        <w:gridCol w:w="709"/>
        <w:gridCol w:w="709"/>
        <w:gridCol w:w="709"/>
        <w:gridCol w:w="3400"/>
      </w:tblGrid>
      <w:tr>
        <w:tblPrEx/>
        <w:trPr/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38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(по </w:t>
            </w:r>
            <w:hyperlink r:id="rId20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588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3238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vMerge w:val="continue"/>
            <w:textDirection w:val="lrTb"/>
            <w:noWrap w:val="false"/>
          </w:tcPr>
          <w:p>
            <w:pPr>
              <w:pStyle w:val="1068"/>
            </w:pPr>
            <w:r/>
            <w:r/>
          </w:p>
        </w:tc>
      </w:tr>
    </w:tbl>
    <w:p>
      <w:pPr>
        <w:pStyle w:val="1068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8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88"/>
        <w:gridCol w:w="3238"/>
        <w:gridCol w:w="1701"/>
        <w:gridCol w:w="1276"/>
        <w:gridCol w:w="992"/>
        <w:gridCol w:w="709"/>
        <w:gridCol w:w="709"/>
        <w:gridCol w:w="709"/>
        <w:gridCol w:w="709"/>
        <w:gridCol w:w="709"/>
        <w:gridCol w:w="709"/>
        <w:gridCol w:w="709"/>
        <w:gridCol w:w="3400"/>
      </w:tblGrid>
      <w:tr>
        <w:tblPrEx/>
        <w:trPr>
          <w:trHeight w:val="54"/>
          <w:tblHeader/>
        </w:trPr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3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ind w:right="317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b/>
                <w:bCs/>
                <w:sz w:val="24"/>
                <w:szCs w:val="24"/>
              </w:rPr>
              <w:t xml:space="preserve">З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77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238" w:type="dxa"/>
            <w:vMerge w:val="restart"/>
            <w:textDirection w:val="lrTb"/>
            <w:noWrap w:val="false"/>
          </w:tcPr>
          <w:p>
            <w:pPr>
              <w:ind w:right="317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Мероприятие (результат) «Мероприятия, направленные на повышение уровня профессионального мастерства»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right="317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ind w:right="18"/>
              <w:jc w:val="center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Единиц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размещенных статей о предпринимателях – победителях конкурсов, </w:t>
            </w:r>
            <w:r>
              <w:rPr>
                <w:sz w:val="24"/>
                <w:szCs w:val="24"/>
              </w:rPr>
              <w:t xml:space="preserve">добив-</w:t>
            </w:r>
            <w:r>
              <w:rPr>
                <w:sz w:val="24"/>
                <w:szCs w:val="24"/>
              </w:rPr>
              <w:t xml:space="preserve">шихся</w:t>
            </w:r>
            <w:r>
              <w:rPr>
                <w:sz w:val="24"/>
                <w:szCs w:val="24"/>
              </w:rPr>
              <w:t xml:space="preserve"> наилучших финансово-экономических показателей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68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Align w:val="center"/>
            <w:vMerge w:val="restart"/>
            <w:textDirection w:val="lrTb"/>
            <w:noWrap w:val="false"/>
          </w:tcPr>
          <w:p>
            <w:pPr>
              <w:tabs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будет содействовать развитию малого и среднего предпринимательства на территории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области, формированию позитивного отношения населения к предпринимательской деятельности, в первую очередь среди молодежи, популяризация и распространение передового опыта предпринимательской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Задача 2</w:t>
            </w:r>
            <w:r>
              <w:rPr>
                <w:b/>
                <w:bCs/>
                <w:sz w:val="24"/>
                <w:szCs w:val="24"/>
              </w:rPr>
              <w:t xml:space="preserve">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880"/>
        </w:trPr>
        <w:tc>
          <w:tcPr>
            <w:tcW w:w="588" w:type="dxa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38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 xml:space="preserve">«Информационно-образовательная подготовка жителей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город-</w:t>
            </w:r>
            <w:r>
              <w:rPr>
                <w:sz w:val="24"/>
                <w:szCs w:val="24"/>
              </w:rPr>
              <w:t xml:space="preserve">ского</w:t>
            </w:r>
            <w:r>
              <w:rPr>
                <w:sz w:val="24"/>
                <w:szCs w:val="24"/>
              </w:rPr>
              <w:t xml:space="preserve"> округа к ведению предпринимательской деятельности»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6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информационно-консультационных и </w:t>
            </w:r>
            <w:r>
              <w:rPr>
                <w:sz w:val="24"/>
                <w:szCs w:val="24"/>
              </w:rPr>
              <w:t xml:space="preserve">образо-вательных</w:t>
            </w:r>
            <w:r>
              <w:rPr>
                <w:sz w:val="24"/>
                <w:szCs w:val="24"/>
              </w:rPr>
              <w:t xml:space="preserve"> услуг в офлайн формате гражданам, желаю-</w:t>
            </w:r>
            <w:r>
              <w:rPr>
                <w:sz w:val="24"/>
                <w:szCs w:val="24"/>
              </w:rPr>
              <w:t xml:space="preserve">щим</w:t>
            </w:r>
            <w:r>
              <w:rPr>
                <w:sz w:val="24"/>
                <w:szCs w:val="24"/>
              </w:rPr>
              <w:t xml:space="preserve"> вести бизнес, начинаю-</w:t>
            </w:r>
            <w:r>
              <w:rPr>
                <w:sz w:val="24"/>
                <w:szCs w:val="24"/>
              </w:rPr>
              <w:t xml:space="preserve">щим</w:t>
            </w:r>
            <w:r>
              <w:rPr>
                <w:sz w:val="24"/>
                <w:szCs w:val="24"/>
              </w:rPr>
              <w:t xml:space="preserve"> и действующим предпринимателям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7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6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Инфраструктурой поддерж</w:t>
            </w:r>
            <w:r>
              <w:rPr>
                <w:sz w:val="24"/>
                <w:szCs w:val="24"/>
              </w:rPr>
              <w:t xml:space="preserve">ки субъектов МСП, иными организациями, оказывающими информационно-консультационные услуги субъектам МСП и гражданам, желающим осуществлять предпринимательскую деятельность, начинающим и действующим предпринимателям оказаны различные услуги в офлайн формате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30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00000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58,0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400,0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58,0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Мероприятия, направленные на повышение уровня профессионального мастерства, 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85004120840529290200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28,0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85004120840529290200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Информационно-образовательная подготовка жителей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округа к ведению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всего в том числе: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85004120840529300200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85004120840529300200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left="0" w:right="-326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left="0" w:right="-326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8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left="0" w:right="-326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Приложение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lang w:val="en-US"/>
        </w:rPr>
        <w:t xml:space="preserve">V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6945"/>
        <w:gridCol w:w="1701"/>
        <w:gridCol w:w="3719"/>
        <w:gridCol w:w="2517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37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157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6945"/>
        <w:gridCol w:w="1701"/>
        <w:gridCol w:w="3719"/>
        <w:gridCol w:w="251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2" w:type="dxa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«Мероприятия, направленные на повышение уровня профессионального мастерства»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0" w:right="-74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left="0" w:right="-74" w:firstLine="0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«Мероприятия, направленные на повышение уровня профессионального мастерства» - 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0" w:right="-74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left="0" w:right="-74" w:firstLine="0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предприниматель»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31.05.2025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31.05.2025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в сфере торговли»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01.12.2025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25.12.2025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в сфере общественного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питания»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01.12.2025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1.1.6.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25.12.2025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предприниматель»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31.05.2026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1.1.8.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left="0" w:right="-74" w:firstLine="0"/>
              <w:jc w:val="left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31.05.2026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2" w:type="dxa"/>
            <w:vAlign w:val="center"/>
            <w:textDirection w:val="lrTb"/>
            <w:noWrap w:val="false"/>
          </w:tcPr>
          <w:p>
            <w:pPr>
              <w:ind w:left="142" w:right="119"/>
              <w:jc w:val="left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«Информационно-образовательная подготовка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округа к ведению предпринимательской деятельности»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«Информационно-образовательная подготовка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округа к ведению предпринимательской деятельности» - ежегодно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«Заключен контракт на оказание образовательных услуг»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15.11.2025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Контракт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«Образовательные услуги оказаны»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«Заключен контракт на оказание образовательных услуг»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Контракт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5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«Образовательные услуги оказаны»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-567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567" w:right="0" w:firstLine="0"/>
        <w:jc w:val="left"/>
        <w:rPr>
          <w:b/>
          <w:bCs/>
          <w:sz w:val="24"/>
          <w:szCs w:val="24"/>
          <w:highlight w:val="none"/>
        </w:rPr>
        <w:outlineLvl w:val="0"/>
      </w:pPr>
      <w:r>
        <w:rPr>
          <w:b/>
          <w:sz w:val="24"/>
          <w:szCs w:val="24"/>
          <w:highlight w:val="none"/>
        </w:rPr>
        <w:t xml:space="preserve">Начальник управления экономики и ценовой политики</w:t>
      </w:r>
      <w:r>
        <w:rPr>
          <w:b/>
          <w:sz w:val="24"/>
          <w:szCs w:val="24"/>
          <w:highlight w:val="none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    О.В. Литвинова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85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                       </w:t>
      </w:r>
      <w:r>
        <w:rPr>
          <w:b/>
          <w:bCs/>
          <w:sz w:val="26"/>
          <w:szCs w:val="26"/>
        </w:rPr>
        <w:t xml:space="preserve">                             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</w:t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-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</w:t>
      </w:r>
      <w:r>
        <w:rPr>
          <w:b/>
          <w:bCs/>
          <w:sz w:val="24"/>
          <w:szCs w:val="24"/>
        </w:rPr>
        <w:t xml:space="preserve"> к муниципальной программе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Сведения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о порядке сбора информации и методике расчета показателя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Губкинского</w:t>
      </w:r>
      <w:r>
        <w:rPr>
          <w:b/>
          <w:bCs/>
          <w:sz w:val="24"/>
          <w:szCs w:val="24"/>
        </w:rPr>
        <w:t xml:space="preserve"> городского округа Белгородской области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20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№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пп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</w:rPr>
              <w:t xml:space="preserve">ца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Опреде-ление</w:t>
            </w:r>
            <w:r>
              <w:rPr>
                <w:rFonts w:ascii="Times New Roman" w:hAnsi="Times New Roman"/>
                <w:b/>
                <w:bCs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Вре-менные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харак</w:t>
            </w:r>
            <w:r>
              <w:rPr>
                <w:rFonts w:ascii="Times New Roman" w:hAnsi="Times New Roman"/>
                <w:b/>
                <w:bCs/>
              </w:rPr>
              <w:t xml:space="preserve">-</w:t>
            </w:r>
            <w:r>
              <w:rPr>
                <w:rFonts w:ascii="Times New Roman" w:hAnsi="Times New Roman"/>
                <w:b/>
                <w:bCs/>
              </w:rPr>
              <w:t xml:space="preserve">терис</w:t>
            </w:r>
            <w:r>
              <w:rPr>
                <w:rFonts w:ascii="Times New Roman" w:hAnsi="Times New Roman"/>
                <w:b/>
                <w:bCs/>
              </w:rPr>
              <w:t xml:space="preserve">-тики показа-теля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Алгоритм (формула) и </w:t>
            </w:r>
            <w:r>
              <w:rPr>
                <w:rFonts w:ascii="Times New Roman" w:hAnsi="Times New Roman"/>
                <w:b/>
                <w:bCs/>
              </w:rPr>
              <w:t xml:space="preserve">методо</w:t>
            </w:r>
            <w:r>
              <w:rPr>
                <w:rFonts w:ascii="Times New Roman" w:hAnsi="Times New Roman"/>
                <w:b/>
                <w:bCs/>
              </w:rPr>
              <w:t xml:space="preserve">-логические</w:t>
            </w:r>
            <w:r>
              <w:rPr>
                <w:rFonts w:ascii="Times New Roman" w:hAnsi="Times New Roman"/>
                <w:b/>
                <w:bCs/>
              </w:rPr>
              <w:t xml:space="preserve"> пояснения к показа-</w:t>
            </w:r>
            <w:r>
              <w:rPr>
                <w:rFonts w:ascii="Times New Roman" w:hAnsi="Times New Roman"/>
                <w:b/>
                <w:bCs/>
              </w:rPr>
              <w:t xml:space="preserve">телю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Базовые показатели (используемые в формуле)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Метод сбора </w:t>
            </w:r>
            <w:r>
              <w:rPr>
                <w:rFonts w:ascii="Times New Roman" w:hAnsi="Times New Roman"/>
                <w:b/>
                <w:bCs/>
              </w:rPr>
              <w:t xml:space="preserve">инфор-мации</w:t>
            </w:r>
            <w:r>
              <w:rPr>
                <w:rFonts w:ascii="Times New Roman" w:hAnsi="Times New Roman"/>
                <w:b/>
                <w:bCs/>
              </w:rPr>
              <w:t xml:space="preserve">, индекс формы отчет-</w:t>
            </w:r>
            <w:r>
              <w:rPr>
                <w:rFonts w:ascii="Times New Roman" w:hAnsi="Times New Roman"/>
                <w:b/>
                <w:bCs/>
              </w:rPr>
              <w:t xml:space="preserve">ности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/>
                <w:b/>
                <w:bCs/>
              </w:rPr>
              <w:t xml:space="preserve">Федераль-ного</w:t>
            </w:r>
            <w:r>
              <w:rPr>
                <w:rFonts w:ascii="Times New Roman" w:hAnsi="Times New Roman"/>
                <w:b/>
                <w:bCs/>
              </w:rPr>
              <w:t xml:space="preserve"> плана </w:t>
            </w:r>
            <w:r>
              <w:rPr>
                <w:rFonts w:ascii="Times New Roman" w:hAnsi="Times New Roman"/>
                <w:b/>
                <w:bCs/>
              </w:rPr>
              <w:t xml:space="preserve">статисти-ческих</w:t>
            </w:r>
            <w:r>
              <w:rPr>
                <w:rFonts w:ascii="Times New Roman" w:hAnsi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</w:rPr>
              <w:t xml:space="preserve"> за сбор данных по </w:t>
            </w:r>
            <w:r>
              <w:rPr>
                <w:rFonts w:ascii="Times New Roman" w:hAnsi="Times New Roman"/>
                <w:b/>
                <w:bCs/>
              </w:rPr>
              <w:t xml:space="preserve">показате-лю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Рекви-зиты</w:t>
            </w:r>
            <w:r>
              <w:rPr>
                <w:rFonts w:ascii="Times New Roman" w:hAnsi="Times New Roman"/>
                <w:b/>
                <w:bCs/>
              </w:rPr>
              <w:t xml:space="preserve"> акта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Срок </w:t>
            </w:r>
            <w:r>
              <w:rPr>
                <w:rFonts w:ascii="Times New Roman" w:hAnsi="Times New Roman"/>
                <w:b/>
                <w:bCs/>
              </w:rPr>
              <w:t xml:space="preserve">предостав-ления</w:t>
            </w:r>
            <w:r>
              <w:rPr>
                <w:rFonts w:ascii="Times New Roman" w:hAnsi="Times New Roman"/>
                <w:b/>
                <w:bCs/>
              </w:rPr>
              <w:t xml:space="preserve"> годовой отчетности информации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</w:tbl>
    <w:p>
      <w:pPr>
        <w:ind w:left="-709" w:right="-879"/>
        <w:jc w:val="center"/>
        <w:spacing w:line="14" w:lineRule="auto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Style w:val="920"/>
        <w:tblW w:w="1612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7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9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10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пострадавших в результате несчастных случаев на производстве с утратой трудоспособности          на 1 рабочий день и более и со смертельным исходом в расчете на 1 тыс. работающих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Единиц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постра</w:t>
            </w:r>
            <w:r>
              <w:rPr>
                <w:rFonts w:ascii="Times New Roman" w:hAnsi="Times New Roman"/>
              </w:rPr>
              <w:t xml:space="preserve">-давших</w:t>
            </w:r>
            <w:r>
              <w:rPr>
                <w:rFonts w:ascii="Times New Roman" w:hAnsi="Times New Roman"/>
              </w:rPr>
              <w:t xml:space="preserve"> в </w:t>
            </w:r>
            <w:r>
              <w:rPr>
                <w:rFonts w:ascii="Times New Roman" w:hAnsi="Times New Roman"/>
              </w:rPr>
              <w:t xml:space="preserve">резуль</w:t>
            </w:r>
            <w:r>
              <w:rPr>
                <w:rFonts w:ascii="Times New Roman" w:hAnsi="Times New Roman"/>
              </w:rPr>
              <w:t xml:space="preserve">-тате несчастных случаев на </w:t>
            </w:r>
            <w:r>
              <w:rPr>
                <w:rFonts w:ascii="Times New Roman" w:hAnsi="Times New Roman"/>
              </w:rPr>
              <w:t xml:space="preserve">произ-водстве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Ежек</w:t>
            </w:r>
            <w:r>
              <w:rPr>
                <w:rFonts w:ascii="Times New Roman" w:hAnsi="Times New Roman"/>
              </w:rPr>
              <w:t xml:space="preserve">-вар-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60"/>
              <w:jc w:val="center"/>
              <w:spacing w:line="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Чп</w:t>
            </w:r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Чпс</w:t>
            </w:r>
            <w:r>
              <w:rPr>
                <w:rFonts w:ascii="Times New Roman" w:hAnsi="Times New Roman"/>
              </w:rPr>
              <w:t xml:space="preserve"> / (</w:t>
            </w:r>
            <w:r>
              <w:rPr>
                <w:rFonts w:ascii="Times New Roman" w:hAnsi="Times New Roman"/>
              </w:rPr>
              <w:t xml:space="preserve">Чраб</w:t>
            </w:r>
            <w:r>
              <w:rPr>
                <w:rFonts w:ascii="Times New Roman" w:hAnsi="Times New Roman"/>
              </w:rPr>
              <w:t xml:space="preserve">/ 1000)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Чп</w:t>
            </w:r>
            <w:r>
              <w:rPr>
                <w:rFonts w:ascii="Times New Roman" w:hAnsi="Times New Roman"/>
              </w:rPr>
              <w:t xml:space="preserve"> - Численность пострадавших,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Чпс</w:t>
            </w:r>
            <w:r>
              <w:rPr>
                <w:rFonts w:ascii="Times New Roman" w:hAnsi="Times New Roman"/>
              </w:rPr>
              <w:t xml:space="preserve"> - численность пострадавших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всего, человек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Чраб</w:t>
            </w:r>
            <w:r>
              <w:rPr>
                <w:rFonts w:ascii="Times New Roman" w:hAnsi="Times New Roman"/>
              </w:rPr>
              <w:t xml:space="preserve"> - численность </w:t>
            </w:r>
            <w:r>
              <w:rPr>
                <w:rFonts w:ascii="Times New Roman" w:hAnsi="Times New Roman"/>
              </w:rPr>
              <w:t xml:space="preserve">работающих</w:t>
            </w:r>
            <w:r>
              <w:rPr>
                <w:rFonts w:ascii="Times New Roman" w:hAnsi="Times New Roman"/>
              </w:rPr>
              <w:t xml:space="preserve">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Отдел по труду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Неналоговые доходы от использования объектов муниципальной собственности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Тысяч рублей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Неналого</w:t>
            </w:r>
            <w:r>
              <w:rPr>
                <w:rFonts w:ascii="Times New Roman" w:hAnsi="Times New Roman"/>
              </w:rPr>
              <w:t xml:space="preserve">-вые</w:t>
            </w:r>
            <w:r>
              <w:rPr>
                <w:rFonts w:ascii="Times New Roman" w:hAnsi="Times New Roman"/>
              </w:rPr>
              <w:t xml:space="preserve"> доходы от </w:t>
            </w:r>
            <w:r>
              <w:rPr>
                <w:rFonts w:ascii="Times New Roman" w:hAnsi="Times New Roman"/>
              </w:rPr>
              <w:t xml:space="preserve">исполь-зования</w:t>
            </w:r>
            <w:r>
              <w:rPr>
                <w:rFonts w:ascii="Times New Roman" w:hAnsi="Times New Roman"/>
              </w:rPr>
              <w:t xml:space="preserve"> объектов муниципальной собственности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Еже-</w:t>
            </w:r>
            <w:r>
              <w:rPr>
                <w:rFonts w:ascii="Times New Roman" w:hAnsi="Times New Roman"/>
              </w:rPr>
              <w:t xml:space="preserve">квар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∑</w:t>
            </w:r>
            <w:r>
              <w:rPr>
                <w:rFonts w:ascii="Times New Roman" w:hAnsi="Times New Roman"/>
                <w:vertAlign w:val="subscript"/>
              </w:rPr>
              <w:t xml:space="preserve">нд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 xml:space="preserve">= ∑</w:t>
            </w:r>
            <w:r>
              <w:rPr>
                <w:rFonts w:ascii="Times New Roman" w:hAnsi="Times New Roman"/>
                <w:vertAlign w:val="subscript"/>
              </w:rPr>
              <w:t xml:space="preserve">азу</w:t>
            </w:r>
            <w:r>
              <w:rPr>
                <w:rFonts w:ascii="Times New Roman" w:hAnsi="Times New Roman"/>
              </w:rPr>
              <w:t xml:space="preserve"> + ∑</w:t>
            </w:r>
            <w:r>
              <w:rPr>
                <w:rFonts w:ascii="Times New Roman" w:hAnsi="Times New Roman"/>
                <w:vertAlign w:val="subscript"/>
              </w:rPr>
              <w:t xml:space="preserve">аим</w:t>
            </w:r>
            <w:r>
              <w:rPr>
                <w:rFonts w:ascii="Times New Roman" w:hAnsi="Times New Roman"/>
                <w:vertAlign w:val="subscript"/>
              </w:rPr>
              <w:t xml:space="preserve">  </w:t>
            </w:r>
            <w:r>
              <w:rPr>
                <w:rFonts w:ascii="Times New Roman" w:hAnsi="Times New Roman"/>
              </w:rPr>
              <w:t xml:space="preserve">+ ∑</w:t>
            </w:r>
            <w:r>
              <w:rPr>
                <w:rFonts w:ascii="Times New Roman" w:hAnsi="Times New Roman"/>
                <w:vertAlign w:val="subscript"/>
              </w:rPr>
              <w:t xml:space="preserve">пзу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 xml:space="preserve">+ ∑</w:t>
            </w:r>
            <w:r>
              <w:rPr>
                <w:rFonts w:ascii="Times New Roman" w:hAnsi="Times New Roman"/>
                <w:vertAlign w:val="subscript"/>
              </w:rPr>
              <w:t xml:space="preserve">пим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нд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 –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сумма неналоговых дох,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использ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объектов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собств. и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уч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гос.собств.на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которые не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разгра-ничена</w:t>
            </w:r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vertAlign w:val="subscript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азу</w:t>
            </w:r>
            <w:r>
              <w:rPr>
                <w:rFonts w:ascii="Times New Roman" w:hAnsi="Times New Roman"/>
                <w:bCs/>
              </w:rPr>
              <w:t xml:space="preserve"> - сумма неналоговых дох., полученных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от передачи в аренду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.у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 в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собств. и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уч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гос.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собст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на кот. не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разгранич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vertAlign w:val="subscript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аим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- сумма </w:t>
            </w:r>
            <w:r>
              <w:rPr>
                <w:rFonts w:ascii="Times New Roman" w:hAnsi="Times New Roman"/>
                <w:bCs/>
              </w:rPr>
              <w:t xml:space="preserve">ненал</w:t>
            </w:r>
            <w:r>
              <w:rPr>
                <w:rFonts w:ascii="Times New Roman" w:hAnsi="Times New Roman"/>
                <w:bCs/>
              </w:rPr>
              <w:t xml:space="preserve">. доходов,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пере-дачи в </w:t>
            </w:r>
            <w:r>
              <w:rPr>
                <w:rFonts w:ascii="Times New Roman" w:hAnsi="Times New Roman"/>
                <w:color w:val="000000" w:themeColor="text1"/>
              </w:rPr>
              <w:t xml:space="preserve">аренду </w:t>
            </w:r>
            <w:r>
              <w:rPr>
                <w:rFonts w:ascii="Times New Roman" w:hAnsi="Times New Roman"/>
                <w:color w:val="000000" w:themeColor="text1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</w:rPr>
              <w:t xml:space="preserve">. имущества, </w:t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vertAlign w:val="subscript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пзу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- сумма </w:t>
            </w:r>
            <w:r>
              <w:rPr>
                <w:rFonts w:ascii="Times New Roman" w:hAnsi="Times New Roman"/>
                <w:bCs/>
              </w:rPr>
              <w:t xml:space="preserve">ненал</w:t>
            </w:r>
            <w:r>
              <w:rPr>
                <w:rFonts w:ascii="Times New Roman" w:hAnsi="Times New Roman"/>
                <w:bCs/>
              </w:rPr>
              <w:t xml:space="preserve">. дох.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от продажи 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.у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 в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собст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..и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зем.уч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гос.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собствен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ность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на кот. разграничена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,</w:t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пим</w:t>
            </w:r>
            <w:r>
              <w:rPr>
                <w:rFonts w:ascii="Times New Roman" w:hAnsi="Times New Roman"/>
                <w:bCs/>
              </w:rPr>
              <w:t xml:space="preserve"> - сумма </w:t>
            </w:r>
            <w:r>
              <w:rPr>
                <w:rFonts w:ascii="Times New Roman" w:hAnsi="Times New Roman"/>
                <w:bCs/>
              </w:rPr>
              <w:t xml:space="preserve">ненал</w:t>
            </w:r>
            <w:r>
              <w:rPr>
                <w:rFonts w:ascii="Times New Roman" w:hAnsi="Times New Roman"/>
                <w:bCs/>
              </w:rPr>
              <w:t xml:space="preserve">. дох.,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продажи в </w:t>
            </w:r>
            <w:r>
              <w:rPr>
                <w:rFonts w:ascii="Times New Roman" w:hAnsi="Times New Roman"/>
                <w:color w:val="000000" w:themeColor="text1"/>
              </w:rPr>
              <w:t xml:space="preserve">аренду </w:t>
            </w:r>
            <w:r>
              <w:rPr>
                <w:rFonts w:ascii="Times New Roman" w:hAnsi="Times New Roman"/>
                <w:color w:val="000000" w:themeColor="text1"/>
              </w:rPr>
              <w:t xml:space="preserve">мун.имущ</w:t>
            </w:r>
            <w:r>
              <w:rPr>
                <w:rFonts w:ascii="Times New Roman" w:hAnsi="Times New Roman"/>
              </w:rPr>
              <w:t xml:space="preserve">ества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  <w:highlight w:val="white"/>
              </w:rPr>
              <w:t xml:space="preserve">омитет по управлению </w:t>
            </w:r>
            <w:r>
              <w:rPr>
                <w:rFonts w:ascii="Times New Roman" w:hAnsi="Times New Roman"/>
                <w:highlight w:val="white"/>
              </w:rPr>
              <w:t xml:space="preserve">муници-пальной</w:t>
            </w:r>
            <w:r>
              <w:rPr>
                <w:rFonts w:ascii="Times New Roman" w:hAnsi="Times New Roman"/>
                <w:highlight w:val="white"/>
              </w:rPr>
              <w:t xml:space="preserve"> </w:t>
            </w:r>
            <w:r>
              <w:rPr>
                <w:rFonts w:ascii="Times New Roman" w:hAnsi="Times New Roman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</w:t>
            </w:r>
            <w:r>
              <w:rPr>
                <w:rFonts w:ascii="Times New Roman" w:hAnsi="Times New Roman"/>
              </w:rPr>
              <w:t xml:space="preserve"> 50 га в 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га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Земель-</w:t>
            </w:r>
            <w:r>
              <w:rPr>
                <w:rFonts w:ascii="Times New Roman" w:hAnsi="Times New Roman"/>
              </w:rPr>
              <w:t xml:space="preserve">ные</w:t>
            </w:r>
            <w:r>
              <w:rPr>
                <w:rFonts w:ascii="Times New Roman" w:hAnsi="Times New Roman"/>
              </w:rPr>
              <w:t xml:space="preserve"> участки – объекты </w:t>
            </w:r>
            <w:r>
              <w:rPr>
                <w:rFonts w:ascii="Times New Roman" w:hAnsi="Times New Roman"/>
              </w:rPr>
              <w:t xml:space="preserve">налооб-ложения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Ежек</w:t>
            </w:r>
            <w:r>
              <w:rPr>
                <w:rFonts w:ascii="Times New Roman" w:hAnsi="Times New Roman"/>
              </w:rPr>
              <w:t xml:space="preserve">-вар-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S=S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+ 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n+1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+ 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n+2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+ 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n+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</w:rPr>
              <w:outlineLvl w:val="0"/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– сумма площадей </w:t>
            </w:r>
            <w:r>
              <w:rPr>
                <w:rFonts w:ascii="Times New Roman" w:hAnsi="Times New Roman"/>
                <w:color w:val="000000" w:themeColor="text1"/>
              </w:rPr>
              <w:t xml:space="preserve">зем.уч</w:t>
            </w:r>
            <w:r>
              <w:rPr>
                <w:rFonts w:ascii="Times New Roman" w:hAnsi="Times New Roman"/>
                <w:color w:val="000000" w:themeColor="text1"/>
              </w:rPr>
              <w:t xml:space="preserve">-ков, </w:t>
            </w:r>
            <w:r>
              <w:rPr>
                <w:rFonts w:ascii="Times New Roman" w:hAnsi="Times New Roman"/>
                <w:color w:val="000000" w:themeColor="text1"/>
              </w:rPr>
              <w:t xml:space="preserve">вовлеч.в</w:t>
            </w:r>
            <w:r>
              <w:rPr>
                <w:rFonts w:ascii="Times New Roman" w:hAnsi="Times New Roman"/>
                <w:color w:val="000000" w:themeColor="text1"/>
              </w:rPr>
              <w:t xml:space="preserve"> оборот </w:t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,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+1,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+…– </w:t>
            </w:r>
            <w:r>
              <w:rPr>
                <w:rFonts w:ascii="Times New Roman" w:hAnsi="Times New Roman"/>
                <w:color w:val="000000" w:themeColor="text1"/>
              </w:rPr>
              <w:t xml:space="preserve">площадь </w:t>
            </w:r>
            <w:r>
              <w:rPr>
                <w:rFonts w:ascii="Times New Roman" w:hAnsi="Times New Roman"/>
                <w:color w:val="000000" w:themeColor="text1"/>
              </w:rPr>
              <w:t xml:space="preserve">вовлеч</w:t>
            </w:r>
            <w:r>
              <w:rPr>
                <w:rFonts w:ascii="Times New Roman" w:hAnsi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</w:rPr>
              <w:t xml:space="preserve">уч</w:t>
            </w:r>
            <w:r>
              <w:rPr>
                <w:rFonts w:ascii="Times New Roman" w:hAnsi="Times New Roman"/>
                <w:color w:val="000000" w:themeColor="text1"/>
              </w:rPr>
              <w:t xml:space="preserve">-ков в </w:t>
            </w:r>
            <w:r>
              <w:rPr>
                <w:rFonts w:ascii="Times New Roman" w:hAnsi="Times New Roman"/>
                <w:color w:val="000000" w:themeColor="text1"/>
              </w:rPr>
              <w:t xml:space="preserve">отч</w:t>
            </w:r>
            <w:r>
              <w:rPr>
                <w:rFonts w:ascii="Times New Roman" w:hAnsi="Times New Roman"/>
                <w:color w:val="000000" w:themeColor="text1"/>
              </w:rPr>
              <w:t xml:space="preserve">. периоде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  <w:highlight w:val="white"/>
              </w:rPr>
              <w:t xml:space="preserve">омитет по управлению </w:t>
            </w:r>
            <w:r>
              <w:rPr>
                <w:rFonts w:ascii="Times New Roman" w:hAnsi="Times New Roman"/>
                <w:highlight w:val="white"/>
              </w:rPr>
              <w:t xml:space="preserve">муници-пальной</w:t>
            </w:r>
            <w:r>
              <w:rPr>
                <w:rFonts w:ascii="Times New Roman" w:hAnsi="Times New Roman"/>
                <w:highlight w:val="white"/>
              </w:rPr>
              <w:t xml:space="preserve"> </w:t>
            </w:r>
            <w:r>
              <w:rPr>
                <w:rFonts w:ascii="Times New Roman" w:hAnsi="Times New Roman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Темп роста  объема инвестиций субъектов МСП в основной капитал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процент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Показы-</w:t>
            </w:r>
            <w:r>
              <w:rPr>
                <w:rFonts w:ascii="Times New Roman" w:hAnsi="Times New Roman"/>
              </w:rPr>
              <w:t xml:space="preserve">вает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совокуп-ность</w:t>
            </w:r>
            <w:r>
              <w:rPr>
                <w:rFonts w:ascii="Times New Roman" w:hAnsi="Times New Roman"/>
              </w:rPr>
              <w:t xml:space="preserve"> затрат, которые </w:t>
            </w:r>
            <w:r>
              <w:rPr>
                <w:rFonts w:ascii="Times New Roman" w:hAnsi="Times New Roman"/>
              </w:rPr>
              <w:t xml:space="preserve">приво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дят</w:t>
            </w:r>
            <w:r>
              <w:rPr>
                <w:rFonts w:ascii="Times New Roman" w:hAnsi="Times New Roman"/>
              </w:rPr>
              <w:t xml:space="preserve"> к </w:t>
            </w:r>
            <w:r>
              <w:rPr>
                <w:rFonts w:ascii="Times New Roman" w:hAnsi="Times New Roman"/>
              </w:rPr>
              <w:t xml:space="preserve">увеличе-нию</w:t>
            </w:r>
            <w:r>
              <w:rPr>
                <w:rFonts w:ascii="Times New Roman" w:hAnsi="Times New Roman"/>
              </w:rPr>
              <w:t xml:space="preserve"> их </w:t>
            </w:r>
            <w:r>
              <w:rPr>
                <w:rFonts w:ascii="Times New Roman" w:hAnsi="Times New Roman"/>
              </w:rPr>
              <w:t xml:space="preserve">первона-</w:t>
            </w:r>
            <w:r>
              <w:rPr>
                <w:rFonts w:ascii="Times New Roman" w:hAnsi="Times New Roman"/>
              </w:rPr>
              <w:t xml:space="preserve">чальной</w:t>
            </w:r>
            <w:r>
              <w:rPr>
                <w:rFonts w:ascii="Times New Roman" w:hAnsi="Times New Roman"/>
              </w:rPr>
              <w:t xml:space="preserve"> стоимости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Ежегод</w:t>
            </w:r>
            <w:r>
              <w:rPr>
                <w:rFonts w:ascii="Times New Roman" w:hAnsi="Times New Roman"/>
              </w:rPr>
              <w:t xml:space="preserve">-но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vertAlign w:val="subscript"/>
              </w:rPr>
              <w:outlineLvl w:val="0"/>
            </w:pPr>
            <w:r>
              <w:rPr>
                <w:rFonts w:ascii="Times New Roman" w:hAnsi="Times New Roman"/>
              </w:rPr>
              <w:t xml:space="preserve">V</w:t>
            </w:r>
            <w:r>
              <w:rPr>
                <w:rFonts w:ascii="Times New Roman" w:hAnsi="Times New Roman"/>
                <w:vertAlign w:val="subscript"/>
              </w:rPr>
              <w:t xml:space="preserve">ч</w:t>
            </w:r>
            <w:r>
              <w:rPr>
                <w:rFonts w:ascii="Times New Roman" w:hAnsi="Times New Roman"/>
                <w:vertAlign w:val="subscript"/>
              </w:rPr>
              <w:t xml:space="preserve">n</w:t>
            </w:r>
            <w:r>
              <w:rPr>
                <w:rFonts w:ascii="Times New Roman" w:hAnsi="Times New Roman"/>
                <w:vertAlign w:val="subscript"/>
              </w:rPr>
            </w:r>
            <w:r>
              <w:rPr>
                <w:rFonts w:ascii="Times New Roman" w:hAnsi="Times New Roman"/>
                <w:vertAlign w:val="subscript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V</w:t>
            </w:r>
            <w:r>
              <w:rPr>
                <w:rFonts w:ascii="Times New Roman" w:hAnsi="Times New Roman"/>
                <w:vertAlign w:val="subscript"/>
              </w:rPr>
              <w:t xml:space="preserve">чn</w:t>
            </w:r>
            <w:r>
              <w:rPr>
                <w:rFonts w:ascii="Times New Roman" w:hAnsi="Times New Roman"/>
                <w:vertAlign w:val="subscript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объем инвестиций в основной капитал к объему </w:t>
            </w:r>
            <w:r>
              <w:rPr>
                <w:rFonts w:ascii="Times New Roman" w:hAnsi="Times New Roman"/>
              </w:rPr>
              <w:t xml:space="preserve">инвес-тиций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преды-дущего</w:t>
            </w:r>
            <w:r>
              <w:rPr>
                <w:rFonts w:ascii="Times New Roman" w:hAnsi="Times New Roman"/>
              </w:rPr>
              <w:t xml:space="preserve"> года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2.1.17.Формы </w:t>
            </w:r>
            <w:r>
              <w:rPr>
                <w:rFonts w:ascii="Times New Roman" w:hAnsi="Times New Roman"/>
              </w:rPr>
              <w:t xml:space="preserve">стат</w:t>
            </w:r>
            <w:r>
              <w:rPr>
                <w:rFonts w:ascii="Times New Roman" w:hAnsi="Times New Roman"/>
              </w:rPr>
              <w:t xml:space="preserve">.о</w:t>
            </w:r>
            <w:r>
              <w:rPr>
                <w:rFonts w:ascii="Times New Roman" w:hAnsi="Times New Roman"/>
              </w:rPr>
              <w:t xml:space="preserve">тчетности</w:t>
            </w:r>
            <w:r>
              <w:rPr>
                <w:rFonts w:ascii="Times New Roman" w:hAnsi="Times New Roman"/>
              </w:rPr>
              <w:t xml:space="preserve"> № П-2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Росстат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15 апреля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Оборот субъектов МСП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Млрд. рублей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Стои-мость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отгруже-нных</w:t>
            </w:r>
            <w:r>
              <w:rPr>
                <w:rFonts w:ascii="Times New Roman" w:hAnsi="Times New Roman"/>
              </w:rPr>
              <w:t xml:space="preserve"> товаров </w:t>
            </w:r>
            <w:r>
              <w:rPr>
                <w:rFonts w:ascii="Times New Roman" w:hAnsi="Times New Roman"/>
              </w:rPr>
              <w:t xml:space="preserve">собствен-ного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произ-водства</w:t>
            </w:r>
            <w:r>
              <w:rPr>
                <w:rFonts w:ascii="Times New Roman" w:hAnsi="Times New Roman"/>
              </w:rPr>
              <w:t xml:space="preserve">,           а также выручка от продажи </w:t>
            </w:r>
            <w:r>
              <w:rPr>
                <w:rFonts w:ascii="Times New Roman" w:hAnsi="Times New Roman"/>
              </w:rPr>
              <w:t xml:space="preserve">приобре-тенных</w:t>
            </w:r>
            <w:r>
              <w:rPr>
                <w:rFonts w:ascii="Times New Roman" w:hAnsi="Times New Roman"/>
              </w:rPr>
              <w:t xml:space="preserve"> на стороне товаров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Ежегод</w:t>
            </w:r>
            <w:r>
              <w:rPr>
                <w:rFonts w:ascii="Times New Roman" w:hAnsi="Times New Roman"/>
              </w:rPr>
              <w:t xml:space="preserve">-но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Статис-тическая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инфор-мация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Росстат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До  1 июня года, следующего за </w:t>
            </w:r>
            <w:r>
              <w:rPr>
                <w:rFonts w:ascii="Times New Roman" w:hAnsi="Times New Roman"/>
              </w:rPr>
              <w:t xml:space="preserve">отчетным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r>
              <w:rPr>
                <w:rFonts w:ascii="Times New Roman" w:hAnsi="Times New Roman"/>
              </w:rPr>
              <w:t xml:space="preserve">самозанятых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Человек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Количес-тво</w:t>
            </w:r>
            <w:r>
              <w:rPr>
                <w:rFonts w:ascii="Times New Roman" w:hAnsi="Times New Roman"/>
              </w:rPr>
              <w:t xml:space="preserve"> занятых у </w:t>
            </w:r>
            <w:r>
              <w:rPr>
                <w:rFonts w:ascii="Times New Roman" w:hAnsi="Times New Roman"/>
              </w:rPr>
              <w:t xml:space="preserve">инди-видуаль-ных</w:t>
            </w:r>
            <w:r>
              <w:rPr>
                <w:rFonts w:ascii="Times New Roman" w:hAnsi="Times New Roman"/>
              </w:rPr>
              <w:t xml:space="preserve"> пред-</w:t>
            </w:r>
            <w:r>
              <w:rPr>
                <w:rFonts w:ascii="Times New Roman" w:hAnsi="Times New Roman"/>
              </w:rPr>
              <w:t xml:space="preserve">принима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  <w:t xml:space="preserve">телей</w:t>
            </w:r>
            <w:r>
              <w:rPr>
                <w:rFonts w:ascii="Times New Roman" w:hAnsi="Times New Roman"/>
              </w:rPr>
              <w:t xml:space="preserve">, включая </w:t>
            </w:r>
            <w:r>
              <w:rPr>
                <w:rFonts w:ascii="Times New Roman" w:hAnsi="Times New Roman"/>
              </w:rPr>
              <w:t xml:space="preserve">самоза-нятых</w:t>
            </w:r>
            <w:r>
              <w:rPr>
                <w:rFonts w:ascii="Times New Roman" w:hAnsi="Times New Roman"/>
              </w:rPr>
              <w:t xml:space="preserve">, и у </w:t>
            </w:r>
            <w:r>
              <w:rPr>
                <w:rFonts w:ascii="Times New Roman" w:hAnsi="Times New Roman"/>
              </w:rPr>
              <w:t xml:space="preserve">юридичес</w:t>
            </w:r>
            <w:r>
              <w:rPr>
                <w:rFonts w:ascii="Times New Roman" w:hAnsi="Times New Roman"/>
              </w:rPr>
              <w:t xml:space="preserve">-ких лиц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Ежек</w:t>
            </w:r>
            <w:r>
              <w:rPr>
                <w:rFonts w:ascii="Times New Roman" w:hAnsi="Times New Roman"/>
              </w:rPr>
              <w:t xml:space="preserve">-вар-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Чз</w:t>
            </w:r>
            <w:r>
              <w:rPr>
                <w:rFonts w:ascii="Times New Roman" w:hAnsi="Times New Roman"/>
              </w:rPr>
              <w:t xml:space="preserve">=(</w:t>
            </w:r>
            <w:r>
              <w:rPr>
                <w:rFonts w:ascii="Times New Roman" w:hAnsi="Times New Roman"/>
              </w:rPr>
              <w:t xml:space="preserve">Чюр</w:t>
            </w:r>
            <w:r>
              <w:rPr>
                <w:rFonts w:ascii="Times New Roman" w:hAnsi="Times New Roman"/>
              </w:rPr>
              <w:t xml:space="preserve">+ Чип+ </w:t>
            </w:r>
            <w:r>
              <w:rPr>
                <w:rFonts w:ascii="Times New Roman" w:hAnsi="Times New Roman"/>
              </w:rPr>
              <w:t xml:space="preserve">ИП</w:t>
            </w:r>
            <w:r>
              <w:rPr>
                <w:rFonts w:ascii="Times New Roman" w:hAnsi="Times New Roman"/>
                <w:vertAlign w:val="subscript"/>
              </w:rPr>
              <w:t xml:space="preserve">мсп</w:t>
            </w:r>
            <w:r>
              <w:rPr>
                <w:rFonts w:ascii="Times New Roman" w:hAnsi="Times New Roman"/>
              </w:rPr>
              <w:t xml:space="preserve">+ НПД</w:t>
            </w:r>
            <w:r>
              <w:rPr>
                <w:rFonts w:ascii="Times New Roman" w:hAnsi="Times New Roman"/>
              </w:rPr>
              <w:t xml:space="preserve"> 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Чз</w:t>
            </w:r>
            <w:r>
              <w:rPr>
                <w:rFonts w:ascii="Times New Roman" w:hAnsi="Times New Roman"/>
              </w:rPr>
              <w:t xml:space="preserve"> - численность </w:t>
            </w:r>
            <w:r>
              <w:rPr>
                <w:rFonts w:ascii="Times New Roman" w:hAnsi="Times New Roman"/>
              </w:rPr>
              <w:t xml:space="preserve">занятых</w:t>
            </w:r>
            <w:r>
              <w:rPr>
                <w:rFonts w:ascii="Times New Roman" w:hAnsi="Times New Roman"/>
              </w:rPr>
              <w:t xml:space="preserve"> в сфере МСП,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Чюр</w:t>
            </w:r>
            <w:r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численность работающих  у </w:t>
            </w:r>
            <w:r>
              <w:rPr>
                <w:rFonts w:ascii="Times New Roman" w:hAnsi="Times New Roman"/>
              </w:rPr>
              <w:t xml:space="preserve">юр</w:t>
            </w:r>
            <w:r>
              <w:rPr>
                <w:rFonts w:ascii="Times New Roman" w:hAnsi="Times New Roman"/>
              </w:rPr>
              <w:t xml:space="preserve">.л</w:t>
            </w:r>
            <w:r>
              <w:rPr>
                <w:rFonts w:ascii="Times New Roman" w:hAnsi="Times New Roman"/>
              </w:rPr>
              <w:t xml:space="preserve">иц</w:t>
            </w:r>
            <w:r>
              <w:rPr>
                <w:rFonts w:ascii="Times New Roman" w:hAnsi="Times New Roman"/>
              </w:rPr>
              <w:t xml:space="preserve">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Чип - численность </w:t>
            </w:r>
            <w:r>
              <w:rPr>
                <w:rFonts w:ascii="Times New Roman" w:hAnsi="Times New Roman"/>
              </w:rPr>
              <w:t xml:space="preserve">работающих</w:t>
            </w:r>
            <w:r>
              <w:rPr>
                <w:rFonts w:ascii="Times New Roman" w:hAnsi="Times New Roman"/>
              </w:rPr>
              <w:t xml:space="preserve"> у ИП,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ИП</w:t>
            </w:r>
            <w:r>
              <w:rPr>
                <w:rFonts w:ascii="Times New Roman" w:hAnsi="Times New Roman"/>
                <w:vertAlign w:val="subscript"/>
              </w:rPr>
              <w:t xml:space="preserve">мсп</w:t>
            </w:r>
            <w:r>
              <w:rPr>
                <w:rFonts w:ascii="Times New Roman" w:hAnsi="Times New Roman"/>
              </w:rPr>
              <w:t xml:space="preserve"> – численность ИП,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НПД – численность </w:t>
            </w:r>
            <w:r>
              <w:rPr>
                <w:rFonts w:ascii="Times New Roman" w:hAnsi="Times New Roman"/>
              </w:rPr>
              <w:t xml:space="preserve">самозанятых</w:t>
            </w:r>
            <w:r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налого</w:t>
            </w:r>
            <w:r>
              <w:rPr>
                <w:rFonts w:ascii="Times New Roman" w:hAnsi="Times New Roman"/>
              </w:rPr>
              <w:t xml:space="preserve">-плательщиков</w:t>
            </w:r>
            <w:r>
              <w:rPr>
                <w:rFonts w:ascii="Times New Roman" w:hAnsi="Times New Roman"/>
              </w:rPr>
              <w:t xml:space="preserve"> налога на </w:t>
            </w:r>
            <w:r>
              <w:rPr>
                <w:rFonts w:ascii="Times New Roman" w:hAnsi="Times New Roman"/>
              </w:rPr>
              <w:t xml:space="preserve">профессио-нальный</w:t>
            </w:r>
            <w:r>
              <w:rPr>
                <w:rFonts w:ascii="Times New Roman" w:hAnsi="Times New Roman"/>
              </w:rPr>
              <w:t xml:space="preserve"> доход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Статис-тическая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инфор-мация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Росстат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/>
          </w:p>
        </w:tc>
      </w:tr>
    </w:tbl>
    <w:p>
      <w:pPr>
        <w:pStyle w:val="1085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sectPr>
      <w:headerReference w:type="default" r:id="rId12"/>
      <w:footnotePr/>
      <w:endnotePr/>
      <w:type w:val="nextPage"/>
      <w:pgSz w:w="16838" w:h="11906" w:orient="landscape"/>
      <w:pgMar w:top="1531" w:right="395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ArialMT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8</w:t>
    </w:r>
    <w:r>
      <w:fldChar w:fldCharType="end"/>
    </w:r>
    <w:r/>
  </w:p>
  <w:p>
    <w:pPr>
      <w:pStyle w:val="91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rPr>
        <w:rStyle w:val="1065"/>
      </w:rPr>
      <w:framePr w:wrap="around" w:vAnchor="text" w:hAnchor="margin" w:xAlign="center" w:y="1"/>
    </w:pPr>
    <w:r>
      <w:rPr>
        <w:rStyle w:val="1065"/>
      </w:rPr>
      <w:fldChar w:fldCharType="begin"/>
    </w:r>
    <w:r>
      <w:rPr>
        <w:rStyle w:val="1065"/>
      </w:rPr>
      <w:instrText xml:space="preserve">PAGE  </w:instrText>
    </w:r>
    <w:r>
      <w:rPr>
        <w:rStyle w:val="1065"/>
      </w:rPr>
      <w:fldChar w:fldCharType="end"/>
    </w:r>
    <w:r>
      <w:rPr>
        <w:rStyle w:val="1065"/>
      </w:rPr>
    </w:r>
    <w:r>
      <w:rPr>
        <w:rStyle w:val="1065"/>
      </w:rPr>
    </w:r>
  </w:p>
  <w:p>
    <w:pPr>
      <w:pStyle w:val="91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56</w:t>
    </w:r>
    <w:r>
      <w:fldChar w:fldCharType="end"/>
    </w:r>
    <w:r/>
  </w:p>
  <w:p>
    <w:pPr>
      <w:pStyle w:val="9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3"/>
  </w:num>
  <w:num w:numId="3">
    <w:abstractNumId w:val="34"/>
  </w:num>
  <w:num w:numId="4">
    <w:abstractNumId w:val="40"/>
  </w:num>
  <w:num w:numId="5">
    <w:abstractNumId w:val="11"/>
  </w:num>
  <w:num w:numId="6">
    <w:abstractNumId w:val="10"/>
  </w:num>
  <w:num w:numId="7">
    <w:abstractNumId w:val="17"/>
  </w:num>
  <w:num w:numId="8">
    <w:abstractNumId w:val="33"/>
  </w:num>
  <w:num w:numId="9">
    <w:abstractNumId w:val="36"/>
  </w:num>
  <w:num w:numId="10">
    <w:abstractNumId w:val="13"/>
  </w:num>
  <w:num w:numId="11">
    <w:abstractNumId w:val="39"/>
  </w:num>
  <w:num w:numId="12">
    <w:abstractNumId w:val="38"/>
  </w:num>
  <w:num w:numId="13">
    <w:abstractNumId w:val="31"/>
  </w:num>
  <w:num w:numId="14">
    <w:abstractNumId w:val="24"/>
  </w:num>
  <w:num w:numId="15">
    <w:abstractNumId w:val="28"/>
  </w:num>
  <w:num w:numId="16">
    <w:abstractNumId w:val="35"/>
  </w:num>
  <w:num w:numId="17">
    <w:abstractNumId w:val="18"/>
  </w:num>
  <w:num w:numId="18">
    <w:abstractNumId w:val="27"/>
  </w:num>
  <w:num w:numId="19">
    <w:abstractNumId w:val="7"/>
  </w:num>
  <w:num w:numId="20">
    <w:abstractNumId w:val="8"/>
  </w:num>
  <w:num w:numId="21">
    <w:abstractNumId w:val="20"/>
  </w:num>
  <w:num w:numId="22">
    <w:abstractNumId w:val="26"/>
  </w:num>
  <w:num w:numId="23">
    <w:abstractNumId w:val="9"/>
  </w:num>
  <w:num w:numId="24">
    <w:abstractNumId w:val="16"/>
  </w:num>
  <w:num w:numId="25">
    <w:abstractNumId w:val="0"/>
  </w:num>
  <w:num w:numId="26">
    <w:abstractNumId w:val="19"/>
  </w:num>
  <w:num w:numId="27">
    <w:abstractNumId w:val="1"/>
  </w:num>
  <w:num w:numId="28">
    <w:abstractNumId w:val="21"/>
  </w:num>
  <w:num w:numId="29">
    <w:abstractNumId w:val="30"/>
  </w:num>
  <w:num w:numId="30">
    <w:abstractNumId w:val="4"/>
  </w:num>
  <w:num w:numId="31">
    <w:abstractNumId w:val="23"/>
  </w:num>
  <w:num w:numId="32">
    <w:abstractNumId w:val="14"/>
  </w:num>
  <w:num w:numId="33">
    <w:abstractNumId w:val="25"/>
  </w:num>
  <w:num w:numId="34">
    <w:abstractNumId w:val="32"/>
  </w:num>
  <w:num w:numId="35">
    <w:abstractNumId w:val="15"/>
  </w:num>
  <w:num w:numId="36">
    <w:abstractNumId w:val="22"/>
  </w:num>
  <w:num w:numId="37">
    <w:abstractNumId w:val="5"/>
  </w:num>
  <w:num w:numId="38">
    <w:abstractNumId w:val="12"/>
  </w:num>
  <w:num w:numId="39">
    <w:abstractNumId w:val="29"/>
  </w:num>
  <w:num w:numId="40">
    <w:abstractNumId w:val="6"/>
  </w:num>
  <w:num w:numId="41">
    <w:abstractNumId w:val="37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2" w:default="1">
    <w:name w:val="Normal"/>
    <w:qFormat/>
    <w:pPr>
      <w:widowControl w:val="off"/>
    </w:pPr>
    <w:rPr>
      <w:lang w:eastAsia="ru-RU"/>
    </w:rPr>
  </w:style>
  <w:style w:type="paragraph" w:styleId="813">
    <w:name w:val="Heading 1"/>
    <w:basedOn w:val="812"/>
    <w:next w:val="812"/>
    <w:link w:val="108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14">
    <w:name w:val="Heading 2"/>
    <w:basedOn w:val="812"/>
    <w:next w:val="812"/>
    <w:link w:val="8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5">
    <w:name w:val="Heading 3"/>
    <w:basedOn w:val="812"/>
    <w:next w:val="812"/>
    <w:link w:val="8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6">
    <w:name w:val="Heading 4"/>
    <w:basedOn w:val="812"/>
    <w:next w:val="812"/>
    <w:link w:val="8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7">
    <w:name w:val="Heading 5"/>
    <w:basedOn w:val="812"/>
    <w:next w:val="812"/>
    <w:link w:val="9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8">
    <w:name w:val="Heading 6"/>
    <w:basedOn w:val="812"/>
    <w:next w:val="812"/>
    <w:link w:val="9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9">
    <w:name w:val="Heading 7"/>
    <w:basedOn w:val="812"/>
    <w:next w:val="812"/>
    <w:link w:val="9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812"/>
    <w:next w:val="812"/>
    <w:link w:val="9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1">
    <w:name w:val="Heading 9"/>
    <w:basedOn w:val="812"/>
    <w:next w:val="812"/>
    <w:link w:val="9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2" w:default="1">
    <w:name w:val="Default Paragraph Font"/>
    <w:uiPriority w:val="1"/>
    <w:semiHidden/>
    <w:unhideWhenUsed/>
  </w:style>
  <w:style w:type="table" w:styleId="8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4" w:default="1">
    <w:name w:val="No List"/>
    <w:uiPriority w:val="99"/>
    <w:semiHidden/>
    <w:unhideWhenUsed/>
  </w:style>
  <w:style w:type="table" w:styleId="825" w:customStyle="1">
    <w:name w:val="Plain Table 1"/>
    <w:basedOn w:val="8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 w:customStyle="1">
    <w:name w:val="Plain Table 2"/>
    <w:basedOn w:val="8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 w:customStyle="1">
    <w:name w:val="Plain Table 3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 w:customStyle="1">
    <w:name w:val="Plain Table 4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Plain Table 5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1 Light"/>
    <w:basedOn w:val="8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2"/>
    <w:basedOn w:val="8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"/>
    <w:basedOn w:val="8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4"/>
    <w:basedOn w:val="8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 w:customStyle="1">
    <w:name w:val="Grid Table 5 Dark"/>
    <w:basedOn w:val="8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6 Colorful"/>
    <w:basedOn w:val="8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7 Colorful"/>
    <w:basedOn w:val="8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1 Light"/>
    <w:basedOn w:val="8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2"/>
    <w:basedOn w:val="8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9" w:customStyle="1">
    <w:name w:val="List Table 3"/>
    <w:basedOn w:val="8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"/>
    <w:basedOn w:val="8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5 Dark"/>
    <w:basedOn w:val="8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6 Colorful"/>
    <w:basedOn w:val="8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7 Colorful"/>
    <w:basedOn w:val="8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Таблица простая 11"/>
    <w:basedOn w:val="8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 w:customStyle="1">
    <w:name w:val="Таблица простая 21"/>
    <w:basedOn w:val="8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 w:customStyle="1">
    <w:name w:val="Таблица простая 31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7" w:customStyle="1">
    <w:name w:val="Таблица простая 41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Таблица простая 51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9" w:customStyle="1">
    <w:name w:val="Таблица-сетка 1 светлая1"/>
    <w:basedOn w:val="8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Таблица-сетка 21"/>
    <w:basedOn w:val="8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Таблица-сетка 31"/>
    <w:basedOn w:val="8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Таблица-сетка 41"/>
    <w:basedOn w:val="8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3" w:customStyle="1">
    <w:name w:val="Таблица-сетка 5 темная1"/>
    <w:basedOn w:val="8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4" w:customStyle="1">
    <w:name w:val="Таблица-сетка 6 цветная1"/>
    <w:basedOn w:val="8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5" w:customStyle="1">
    <w:name w:val="Таблица-сетка 7 цветная1"/>
    <w:basedOn w:val="8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Список-таблица 1 светлая1"/>
    <w:basedOn w:val="8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Список-таблица 21"/>
    <w:basedOn w:val="8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8" w:customStyle="1">
    <w:name w:val="Список-таблица 31"/>
    <w:basedOn w:val="8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Список-таблица 41"/>
    <w:basedOn w:val="8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Список-таблица 5 темная1"/>
    <w:basedOn w:val="8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Список-таблица 6 цветная1"/>
    <w:basedOn w:val="8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Список-таблица 7 цветная1"/>
    <w:basedOn w:val="8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63" w:customStyle="1">
    <w:name w:val="Heading 2 Char"/>
    <w:basedOn w:val="822"/>
    <w:uiPriority w:val="9"/>
    <w:rPr>
      <w:rFonts w:ascii="Arial" w:hAnsi="Arial" w:eastAsia="Arial" w:cs="Arial"/>
      <w:sz w:val="34"/>
    </w:rPr>
  </w:style>
  <w:style w:type="character" w:styleId="864" w:customStyle="1">
    <w:name w:val="Heading 3 Char"/>
    <w:basedOn w:val="822"/>
    <w:uiPriority w:val="9"/>
    <w:rPr>
      <w:rFonts w:ascii="Arial" w:hAnsi="Arial" w:eastAsia="Arial" w:cs="Arial"/>
      <w:sz w:val="30"/>
      <w:szCs w:val="30"/>
    </w:rPr>
  </w:style>
  <w:style w:type="character" w:styleId="865" w:customStyle="1">
    <w:name w:val="Heading 4 Char"/>
    <w:basedOn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66" w:customStyle="1">
    <w:name w:val="Heading 5 Char"/>
    <w:basedOn w:val="822"/>
    <w:uiPriority w:val="9"/>
    <w:rPr>
      <w:rFonts w:ascii="Arial" w:hAnsi="Arial" w:eastAsia="Arial" w:cs="Arial"/>
      <w:b/>
      <w:bCs/>
      <w:sz w:val="24"/>
      <w:szCs w:val="24"/>
    </w:rPr>
  </w:style>
  <w:style w:type="character" w:styleId="867" w:customStyle="1">
    <w:name w:val="Heading 6 Char"/>
    <w:basedOn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68" w:customStyle="1">
    <w:name w:val="Heading 7 Char"/>
    <w:basedOn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9" w:customStyle="1">
    <w:name w:val="Heading 8 Char"/>
    <w:basedOn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70" w:customStyle="1">
    <w:name w:val="Heading 9 Char"/>
    <w:basedOn w:val="822"/>
    <w:uiPriority w:val="9"/>
    <w:rPr>
      <w:rFonts w:ascii="Arial" w:hAnsi="Arial" w:eastAsia="Arial" w:cs="Arial"/>
      <w:i/>
      <w:iCs/>
      <w:sz w:val="21"/>
      <w:szCs w:val="21"/>
    </w:rPr>
  </w:style>
  <w:style w:type="character" w:styleId="871" w:customStyle="1">
    <w:name w:val="Title Char"/>
    <w:basedOn w:val="822"/>
    <w:uiPriority w:val="10"/>
    <w:rPr>
      <w:sz w:val="48"/>
      <w:szCs w:val="48"/>
    </w:rPr>
  </w:style>
  <w:style w:type="character" w:styleId="872" w:customStyle="1">
    <w:name w:val="Subtitle Char"/>
    <w:basedOn w:val="822"/>
    <w:uiPriority w:val="11"/>
    <w:rPr>
      <w:sz w:val="24"/>
      <w:szCs w:val="24"/>
    </w:rPr>
  </w:style>
  <w:style w:type="character" w:styleId="873" w:customStyle="1">
    <w:name w:val="Quote Char"/>
    <w:uiPriority w:val="29"/>
    <w:rPr>
      <w:i/>
    </w:rPr>
  </w:style>
  <w:style w:type="character" w:styleId="874" w:customStyle="1">
    <w:name w:val="Intense Quote Char"/>
    <w:uiPriority w:val="30"/>
    <w:rPr>
      <w:i/>
    </w:rPr>
  </w:style>
  <w:style w:type="table" w:styleId="875" w:customStyle="1">
    <w:name w:val="Таблица простая 11"/>
    <w:basedOn w:val="8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6" w:customStyle="1">
    <w:name w:val="Таблица простая 21"/>
    <w:basedOn w:val="8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7" w:customStyle="1">
    <w:name w:val="Таблица простая 31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8" w:customStyle="1">
    <w:name w:val="Таблица простая 41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Таблица простая 51"/>
    <w:basedOn w:val="8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0" w:customStyle="1">
    <w:name w:val="Таблица-сетка 1 светлая1"/>
    <w:basedOn w:val="8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Таблица-сетка 21"/>
    <w:basedOn w:val="8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Таблица-сетка 31"/>
    <w:basedOn w:val="8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Таблица-сетка 41"/>
    <w:basedOn w:val="8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4" w:customStyle="1">
    <w:name w:val="Таблица-сетка 5 темная1"/>
    <w:basedOn w:val="8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5" w:customStyle="1">
    <w:name w:val="Таблица-сетка 6 цветная1"/>
    <w:basedOn w:val="8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6" w:customStyle="1">
    <w:name w:val="Таблица-сетка 7 цветная1"/>
    <w:basedOn w:val="8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Список-таблица 1 светлая1"/>
    <w:basedOn w:val="8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Список-таблица 21"/>
    <w:basedOn w:val="8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8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Список-таблица 41"/>
    <w:basedOn w:val="8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Список-таблица 5 темная1"/>
    <w:basedOn w:val="8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Список-таблица 6 цветная1"/>
    <w:basedOn w:val="8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3" w:customStyle="1">
    <w:name w:val="Список-таблица 7 цветная1"/>
    <w:basedOn w:val="8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94" w:customStyle="1">
    <w:name w:val="Footnote Text Char"/>
    <w:uiPriority w:val="99"/>
    <w:rPr>
      <w:sz w:val="18"/>
    </w:rPr>
  </w:style>
  <w:style w:type="character" w:styleId="895" w:customStyle="1">
    <w:name w:val="Endnote Text Char"/>
    <w:uiPriority w:val="99"/>
    <w:rPr>
      <w:sz w:val="20"/>
    </w:rPr>
  </w:style>
  <w:style w:type="character" w:styleId="896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97" w:customStyle="1">
    <w:name w:val="Заголовок 2 Знак"/>
    <w:link w:val="814"/>
    <w:uiPriority w:val="9"/>
    <w:rPr>
      <w:rFonts w:ascii="Arial" w:hAnsi="Arial" w:eastAsia="Arial" w:cs="Arial"/>
      <w:sz w:val="34"/>
    </w:rPr>
  </w:style>
  <w:style w:type="character" w:styleId="898" w:customStyle="1">
    <w:name w:val="Заголовок 3 Знак"/>
    <w:link w:val="815"/>
    <w:uiPriority w:val="9"/>
    <w:rPr>
      <w:rFonts w:ascii="Arial" w:hAnsi="Arial" w:eastAsia="Arial" w:cs="Arial"/>
      <w:sz w:val="30"/>
      <w:szCs w:val="30"/>
    </w:rPr>
  </w:style>
  <w:style w:type="character" w:styleId="899" w:customStyle="1">
    <w:name w:val="Заголовок 4 Знак"/>
    <w:link w:val="816"/>
    <w:uiPriority w:val="9"/>
    <w:rPr>
      <w:rFonts w:ascii="Arial" w:hAnsi="Arial" w:eastAsia="Arial" w:cs="Arial"/>
      <w:b/>
      <w:bCs/>
      <w:sz w:val="26"/>
      <w:szCs w:val="26"/>
    </w:rPr>
  </w:style>
  <w:style w:type="character" w:styleId="900" w:customStyle="1">
    <w:name w:val="Заголовок 5 Знак"/>
    <w:link w:val="817"/>
    <w:uiPriority w:val="9"/>
    <w:rPr>
      <w:rFonts w:ascii="Arial" w:hAnsi="Arial" w:eastAsia="Arial" w:cs="Arial"/>
      <w:b/>
      <w:bCs/>
      <w:sz w:val="24"/>
      <w:szCs w:val="24"/>
    </w:rPr>
  </w:style>
  <w:style w:type="character" w:styleId="901" w:customStyle="1">
    <w:name w:val="Заголовок 6 Знак"/>
    <w:link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902" w:customStyle="1">
    <w:name w:val="Заголовок 7 Знак"/>
    <w:link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3" w:customStyle="1">
    <w:name w:val="Заголовок 8 Знак"/>
    <w:link w:val="820"/>
    <w:uiPriority w:val="9"/>
    <w:rPr>
      <w:rFonts w:ascii="Arial" w:hAnsi="Arial" w:eastAsia="Arial" w:cs="Arial"/>
      <w:i/>
      <w:iCs/>
      <w:sz w:val="22"/>
      <w:szCs w:val="22"/>
    </w:rPr>
  </w:style>
  <w:style w:type="character" w:styleId="904" w:customStyle="1">
    <w:name w:val="Заголовок 9 Знак"/>
    <w:link w:val="821"/>
    <w:uiPriority w:val="9"/>
    <w:rPr>
      <w:rFonts w:ascii="Arial" w:hAnsi="Arial" w:eastAsia="Arial" w:cs="Arial"/>
      <w:i/>
      <w:iCs/>
      <w:sz w:val="21"/>
      <w:szCs w:val="21"/>
    </w:rPr>
  </w:style>
  <w:style w:type="paragraph" w:styleId="905">
    <w:name w:val="No Spacing"/>
    <w:uiPriority w:val="1"/>
    <w:qFormat/>
  </w:style>
  <w:style w:type="paragraph" w:styleId="906">
    <w:name w:val="Title"/>
    <w:basedOn w:val="812"/>
    <w:next w:val="812"/>
    <w:link w:val="9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07" w:customStyle="1">
    <w:name w:val="Название Знак"/>
    <w:link w:val="906"/>
    <w:uiPriority w:val="10"/>
    <w:rPr>
      <w:sz w:val="48"/>
      <w:szCs w:val="48"/>
    </w:rPr>
  </w:style>
  <w:style w:type="paragraph" w:styleId="908">
    <w:name w:val="Subtitle"/>
    <w:basedOn w:val="812"/>
    <w:next w:val="812"/>
    <w:link w:val="909"/>
    <w:uiPriority w:val="11"/>
    <w:qFormat/>
    <w:pPr>
      <w:spacing w:before="200" w:after="200"/>
    </w:pPr>
    <w:rPr>
      <w:sz w:val="24"/>
      <w:szCs w:val="24"/>
    </w:rPr>
  </w:style>
  <w:style w:type="character" w:styleId="909" w:customStyle="1">
    <w:name w:val="Подзаголовок Знак"/>
    <w:link w:val="908"/>
    <w:uiPriority w:val="11"/>
    <w:rPr>
      <w:sz w:val="24"/>
      <w:szCs w:val="24"/>
    </w:rPr>
  </w:style>
  <w:style w:type="paragraph" w:styleId="910">
    <w:name w:val="Quote"/>
    <w:basedOn w:val="812"/>
    <w:next w:val="812"/>
    <w:link w:val="911"/>
    <w:uiPriority w:val="29"/>
    <w:qFormat/>
    <w:pPr>
      <w:ind w:left="720" w:right="720"/>
    </w:pPr>
    <w:rPr>
      <w:i/>
    </w:rPr>
  </w:style>
  <w:style w:type="character" w:styleId="911" w:customStyle="1">
    <w:name w:val="Цитата 2 Знак"/>
    <w:link w:val="910"/>
    <w:uiPriority w:val="29"/>
    <w:rPr>
      <w:i/>
    </w:rPr>
  </w:style>
  <w:style w:type="paragraph" w:styleId="912">
    <w:name w:val="Intense Quote"/>
    <w:basedOn w:val="812"/>
    <w:next w:val="812"/>
    <w:link w:val="9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3" w:customStyle="1">
    <w:name w:val="Выделенная цитата Знак"/>
    <w:link w:val="912"/>
    <w:uiPriority w:val="30"/>
    <w:rPr>
      <w:i/>
    </w:rPr>
  </w:style>
  <w:style w:type="paragraph" w:styleId="914">
    <w:name w:val="Header"/>
    <w:basedOn w:val="812"/>
    <w:link w:val="1074"/>
    <w:pPr>
      <w:tabs>
        <w:tab w:val="center" w:pos="4677" w:leader="none"/>
        <w:tab w:val="right" w:pos="9355" w:leader="none"/>
      </w:tabs>
    </w:pPr>
  </w:style>
  <w:style w:type="character" w:styleId="915" w:customStyle="1">
    <w:name w:val="Header Char"/>
    <w:uiPriority w:val="99"/>
  </w:style>
  <w:style w:type="paragraph" w:styleId="916">
    <w:name w:val="Footer"/>
    <w:basedOn w:val="812"/>
    <w:link w:val="1075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/>
      <w:lang w:val="en-US" w:eastAsia="en-US"/>
    </w:rPr>
  </w:style>
  <w:style w:type="character" w:styleId="917" w:customStyle="1">
    <w:name w:val="Footer Char"/>
    <w:uiPriority w:val="99"/>
  </w:style>
  <w:style w:type="paragraph" w:styleId="918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19" w:customStyle="1">
    <w:name w:val="Caption Char"/>
    <w:uiPriority w:val="99"/>
  </w:style>
  <w:style w:type="table" w:styleId="920">
    <w:name w:val="Table Grid"/>
    <w:basedOn w:val="823"/>
    <w:rPr>
      <w:rFonts w:ascii="Calibri" w:hAnsi="Calibri"/>
    </w:rPr>
    <w:tblPr/>
  </w:style>
  <w:style w:type="table" w:styleId="92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2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3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4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5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7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5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5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5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5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5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55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5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5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5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5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62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6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6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6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6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6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69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8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8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8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8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8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90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1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1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1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1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1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1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1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18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6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7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8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9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0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1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32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3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4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5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6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7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8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3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4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4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4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4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4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46">
    <w:name w:val="Hyperlink"/>
    <w:rPr>
      <w:color w:val="0000ff"/>
      <w:u w:val="single"/>
    </w:rPr>
  </w:style>
  <w:style w:type="paragraph" w:styleId="1047">
    <w:name w:val="footnote text"/>
    <w:basedOn w:val="812"/>
    <w:link w:val="1048"/>
    <w:uiPriority w:val="99"/>
    <w:semiHidden/>
    <w:unhideWhenUsed/>
    <w:pPr>
      <w:spacing w:after="40"/>
    </w:pPr>
    <w:rPr>
      <w:sz w:val="18"/>
    </w:rPr>
  </w:style>
  <w:style w:type="character" w:styleId="1048" w:customStyle="1">
    <w:name w:val="Текст сноски Знак"/>
    <w:link w:val="1047"/>
    <w:uiPriority w:val="99"/>
    <w:rPr>
      <w:sz w:val="18"/>
    </w:rPr>
  </w:style>
  <w:style w:type="character" w:styleId="1049">
    <w:name w:val="footnote reference"/>
    <w:uiPriority w:val="99"/>
    <w:unhideWhenUsed/>
    <w:rPr>
      <w:vertAlign w:val="superscript"/>
    </w:rPr>
  </w:style>
  <w:style w:type="paragraph" w:styleId="1050">
    <w:name w:val="endnote text"/>
    <w:basedOn w:val="812"/>
    <w:link w:val="1051"/>
    <w:uiPriority w:val="99"/>
    <w:semiHidden/>
    <w:unhideWhenUsed/>
  </w:style>
  <w:style w:type="character" w:styleId="1051" w:customStyle="1">
    <w:name w:val="Текст концевой сноски Знак"/>
    <w:link w:val="1050"/>
    <w:uiPriority w:val="99"/>
    <w:rPr>
      <w:sz w:val="20"/>
    </w:rPr>
  </w:style>
  <w:style w:type="character" w:styleId="1052">
    <w:name w:val="endnote reference"/>
    <w:uiPriority w:val="99"/>
    <w:semiHidden/>
    <w:unhideWhenUsed/>
    <w:rPr>
      <w:vertAlign w:val="superscript"/>
    </w:rPr>
  </w:style>
  <w:style w:type="paragraph" w:styleId="1053">
    <w:name w:val="toc 1"/>
    <w:basedOn w:val="812"/>
    <w:next w:val="812"/>
    <w:uiPriority w:val="39"/>
    <w:unhideWhenUsed/>
    <w:pPr>
      <w:spacing w:after="57"/>
    </w:pPr>
  </w:style>
  <w:style w:type="paragraph" w:styleId="1054">
    <w:name w:val="toc 2"/>
    <w:basedOn w:val="812"/>
    <w:next w:val="812"/>
    <w:uiPriority w:val="39"/>
    <w:unhideWhenUsed/>
    <w:pPr>
      <w:ind w:left="283"/>
      <w:spacing w:after="57"/>
    </w:pPr>
  </w:style>
  <w:style w:type="paragraph" w:styleId="1055">
    <w:name w:val="toc 3"/>
    <w:basedOn w:val="812"/>
    <w:next w:val="812"/>
    <w:uiPriority w:val="39"/>
    <w:unhideWhenUsed/>
    <w:pPr>
      <w:ind w:left="567"/>
      <w:spacing w:after="57"/>
    </w:pPr>
  </w:style>
  <w:style w:type="paragraph" w:styleId="1056">
    <w:name w:val="toc 4"/>
    <w:basedOn w:val="812"/>
    <w:next w:val="812"/>
    <w:uiPriority w:val="39"/>
    <w:unhideWhenUsed/>
    <w:pPr>
      <w:ind w:left="850"/>
      <w:spacing w:after="57"/>
    </w:pPr>
  </w:style>
  <w:style w:type="paragraph" w:styleId="1057">
    <w:name w:val="toc 5"/>
    <w:basedOn w:val="812"/>
    <w:next w:val="812"/>
    <w:uiPriority w:val="39"/>
    <w:unhideWhenUsed/>
    <w:pPr>
      <w:ind w:left="1134"/>
      <w:spacing w:after="57"/>
    </w:pPr>
  </w:style>
  <w:style w:type="paragraph" w:styleId="1058">
    <w:name w:val="toc 6"/>
    <w:basedOn w:val="812"/>
    <w:next w:val="812"/>
    <w:uiPriority w:val="39"/>
    <w:unhideWhenUsed/>
    <w:pPr>
      <w:ind w:left="1417"/>
      <w:spacing w:after="57"/>
    </w:pPr>
  </w:style>
  <w:style w:type="paragraph" w:styleId="1059">
    <w:name w:val="toc 7"/>
    <w:basedOn w:val="812"/>
    <w:next w:val="812"/>
    <w:uiPriority w:val="39"/>
    <w:unhideWhenUsed/>
    <w:pPr>
      <w:ind w:left="1701"/>
      <w:spacing w:after="57"/>
    </w:pPr>
  </w:style>
  <w:style w:type="paragraph" w:styleId="1060">
    <w:name w:val="toc 8"/>
    <w:basedOn w:val="812"/>
    <w:next w:val="812"/>
    <w:uiPriority w:val="39"/>
    <w:unhideWhenUsed/>
    <w:pPr>
      <w:ind w:left="1984"/>
      <w:spacing w:after="57"/>
    </w:pPr>
  </w:style>
  <w:style w:type="paragraph" w:styleId="1061">
    <w:name w:val="toc 9"/>
    <w:basedOn w:val="812"/>
    <w:next w:val="812"/>
    <w:uiPriority w:val="39"/>
    <w:unhideWhenUsed/>
    <w:pPr>
      <w:ind w:left="2268"/>
      <w:spacing w:after="57"/>
    </w:pPr>
  </w:style>
  <w:style w:type="paragraph" w:styleId="1062">
    <w:name w:val="TOC Heading"/>
    <w:uiPriority w:val="39"/>
    <w:unhideWhenUsed/>
  </w:style>
  <w:style w:type="paragraph" w:styleId="1063">
    <w:name w:val="table of figures"/>
    <w:basedOn w:val="812"/>
    <w:next w:val="812"/>
    <w:uiPriority w:val="99"/>
    <w:unhideWhenUsed/>
  </w:style>
  <w:style w:type="paragraph" w:styleId="1064" w:customStyle="1">
    <w:name w:val="ConsPlusCell"/>
    <w:pPr>
      <w:widowControl w:val="off"/>
    </w:pPr>
    <w:rPr>
      <w:rFonts w:ascii="Arial" w:hAnsi="Arial" w:eastAsia="Calibri" w:cs="Arial"/>
      <w:lang w:eastAsia="ru-RU"/>
    </w:rPr>
  </w:style>
  <w:style w:type="character" w:styleId="1065">
    <w:name w:val="page number"/>
    <w:basedOn w:val="822"/>
  </w:style>
  <w:style w:type="paragraph" w:styleId="1066">
    <w:name w:val="Balloon Text"/>
    <w:basedOn w:val="812"/>
    <w:link w:val="1067"/>
    <w:rPr>
      <w:rFonts w:ascii="Tahoma" w:hAnsi="Tahoma"/>
      <w:sz w:val="16"/>
      <w:szCs w:val="16"/>
      <w:lang w:val="en-US" w:eastAsia="en-US"/>
    </w:rPr>
  </w:style>
  <w:style w:type="character" w:styleId="1067" w:customStyle="1">
    <w:name w:val="Текст выноски Знак"/>
    <w:link w:val="1066"/>
    <w:rPr>
      <w:rFonts w:ascii="Tahoma" w:hAnsi="Tahoma" w:cs="Tahoma"/>
      <w:sz w:val="16"/>
      <w:szCs w:val="16"/>
    </w:rPr>
  </w:style>
  <w:style w:type="paragraph" w:styleId="1068" w:customStyle="1">
    <w:name w:val="ConsPlusNormal"/>
    <w:pPr>
      <w:ind w:firstLine="720"/>
      <w:widowControl w:val="off"/>
    </w:pPr>
    <w:rPr>
      <w:rFonts w:ascii="Arial" w:hAnsi="Arial" w:eastAsia="Calibri" w:cs="Arial"/>
      <w:lang w:eastAsia="ru-RU"/>
    </w:rPr>
  </w:style>
  <w:style w:type="numbering" w:styleId="1069" w:customStyle="1">
    <w:name w:val="Нет списка1"/>
    <w:next w:val="824"/>
    <w:semiHidden/>
  </w:style>
  <w:style w:type="paragraph" w:styleId="1070" w:customStyle="1">
    <w:name w:val="Стиль"/>
    <w:pPr>
      <w:widowControl w:val="off"/>
    </w:pPr>
    <w:rPr>
      <w:rFonts w:eastAsia="Calibri"/>
      <w:sz w:val="24"/>
      <w:szCs w:val="24"/>
      <w:lang w:eastAsia="ru-RU"/>
    </w:rPr>
  </w:style>
  <w:style w:type="paragraph" w:styleId="1071" w:customStyle="1">
    <w:name w:val="Знак1 Знак Знак Знак Знак Знак Знак Знак Знак1 Char"/>
    <w:basedOn w:val="812"/>
    <w:pPr>
      <w:spacing w:after="160" w:line="240" w:lineRule="exact"/>
      <w:widowControl/>
    </w:pPr>
    <w:rPr>
      <w:rFonts w:ascii="Verdana" w:hAnsi="Verdana" w:eastAsia="Calibri"/>
      <w:lang w:val="en-US" w:eastAsia="en-US"/>
    </w:rPr>
  </w:style>
  <w:style w:type="paragraph" w:styleId="1072">
    <w:name w:val="List Paragraph"/>
    <w:basedOn w:val="812"/>
    <w:link w:val="1080"/>
    <w:uiPriority w:val="34"/>
    <w:qFormat/>
    <w:pPr>
      <w:contextualSpacing/>
      <w:ind w:left="720"/>
      <w:spacing w:after="200" w:line="276" w:lineRule="auto"/>
      <w:widowControl/>
    </w:pPr>
    <w:rPr>
      <w:rFonts w:ascii="Calibri" w:hAnsi="Calibri"/>
      <w:sz w:val="22"/>
      <w:szCs w:val="22"/>
    </w:rPr>
  </w:style>
  <w:style w:type="paragraph" w:styleId="1073" w:customStyle="1">
    <w:name w:val="ConsNormal"/>
    <w:pPr>
      <w:ind w:right="19772" w:firstLine="720"/>
      <w:widowControl w:val="off"/>
    </w:pPr>
    <w:rPr>
      <w:rFonts w:ascii="Arial" w:hAnsi="Arial" w:eastAsia="Calibri" w:cs="Arial"/>
      <w:sz w:val="16"/>
      <w:szCs w:val="16"/>
      <w:lang w:eastAsia="ru-RU"/>
    </w:rPr>
  </w:style>
  <w:style w:type="character" w:styleId="1074" w:customStyle="1">
    <w:name w:val="Верхний колонтитул Знак"/>
    <w:link w:val="914"/>
  </w:style>
  <w:style w:type="character" w:styleId="1075" w:customStyle="1">
    <w:name w:val="Нижний колонтитул Знак"/>
    <w:link w:val="916"/>
    <w:rPr>
      <w:rFonts w:ascii="Calibri" w:hAnsi="Calibri" w:eastAsia="Calibri"/>
      <w:lang w:val="en-US" w:eastAsia="en-US"/>
    </w:rPr>
  </w:style>
  <w:style w:type="table" w:styleId="1076" w:customStyle="1">
    <w:name w:val="Сетка таблицы1"/>
    <w:rPr>
      <w:rFonts w:ascii="Calibri" w:hAnsi="Calibri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077">
    <w:name w:val="Document Map"/>
    <w:basedOn w:val="812"/>
    <w:link w:val="1078"/>
    <w:pPr>
      <w:spacing w:after="200" w:line="276" w:lineRule="auto"/>
      <w:shd w:val="clear" w:color="auto" w:fill="000080"/>
      <w:widowControl/>
    </w:pPr>
    <w:rPr>
      <w:rFonts w:ascii="Tahoma" w:hAnsi="Tahoma"/>
      <w:lang w:val="en-US" w:eastAsia="en-US"/>
    </w:rPr>
  </w:style>
  <w:style w:type="character" w:styleId="1078" w:customStyle="1">
    <w:name w:val="Схема документа Знак"/>
    <w:link w:val="1077"/>
    <w:rPr>
      <w:rFonts w:ascii="Tahoma" w:hAnsi="Tahoma" w:cs="Tahoma"/>
      <w:shd w:val="clear" w:color="auto" w:fill="000080"/>
      <w:lang w:eastAsia="en-US"/>
    </w:rPr>
  </w:style>
  <w:style w:type="paragraph" w:styleId="1079" w:customStyle="1">
    <w:name w:val="Default"/>
    <w:rPr>
      <w:rFonts w:eastAsia="Calibri"/>
      <w:color w:val="000000"/>
      <w:sz w:val="24"/>
      <w:szCs w:val="24"/>
      <w:lang w:eastAsia="ru-RU"/>
    </w:rPr>
  </w:style>
  <w:style w:type="character" w:styleId="1080" w:customStyle="1">
    <w:name w:val="Абзац списка Знак"/>
    <w:link w:val="1072"/>
    <w:uiPriority w:val="34"/>
    <w:rPr>
      <w:rFonts w:ascii="Calibri" w:hAnsi="Calibri"/>
      <w:sz w:val="22"/>
      <w:szCs w:val="22"/>
      <w:lang w:val="en-US" w:eastAsia="en-US"/>
    </w:rPr>
  </w:style>
  <w:style w:type="paragraph" w:styleId="1081">
    <w:name w:val="Normal (Web)"/>
    <w:basedOn w:val="812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character" w:styleId="1082">
    <w:name w:val="Strong"/>
    <w:uiPriority w:val="22"/>
    <w:qFormat/>
    <w:rPr>
      <w:b/>
      <w:bCs/>
    </w:rPr>
  </w:style>
  <w:style w:type="character" w:styleId="1083" w:customStyle="1">
    <w:name w:val="apple-converted-space"/>
    <w:basedOn w:val="822"/>
  </w:style>
  <w:style w:type="character" w:styleId="1084" w:customStyle="1">
    <w:name w:val="Заголовок 1 Знак"/>
    <w:link w:val="813"/>
    <w:rPr>
      <w:rFonts w:ascii="Cambria" w:hAnsi="Cambria" w:eastAsia="Times New Roman" w:cs="Times New Roman"/>
      <w:b/>
      <w:bCs/>
      <w:sz w:val="32"/>
      <w:szCs w:val="32"/>
    </w:rPr>
  </w:style>
  <w:style w:type="paragraph" w:styleId="1085" w:customStyle="1">
    <w:name w:val="ConsPlusTitle"/>
    <w:pPr>
      <w:widowControl w:val="off"/>
    </w:pPr>
    <w:rPr>
      <w:rFonts w:ascii="Calibri" w:hAnsi="Calibri" w:cs="Calibri"/>
      <w:b/>
      <w:sz w:val="22"/>
      <w:lang w:eastAsia="ru-RU"/>
    </w:rPr>
  </w:style>
  <w:style w:type="table" w:styleId="1086" w:customStyle="1">
    <w:name w:val="Сетка таблицы2"/>
    <w:basedOn w:val="823"/>
    <w:next w:val="920"/>
    <w:uiPriority w:val="99"/>
    <w:tblPr/>
  </w:style>
  <w:style w:type="character" w:styleId="1087">
    <w:name w:val="annotation reference"/>
    <w:rPr>
      <w:sz w:val="16"/>
      <w:szCs w:val="16"/>
    </w:rPr>
  </w:style>
  <w:style w:type="paragraph" w:styleId="1088">
    <w:name w:val="annotation text"/>
    <w:basedOn w:val="812"/>
    <w:link w:val="1089"/>
  </w:style>
  <w:style w:type="character" w:styleId="1089" w:customStyle="1">
    <w:name w:val="Текст примечания Знак"/>
    <w:basedOn w:val="822"/>
    <w:link w:val="1088"/>
  </w:style>
  <w:style w:type="paragraph" w:styleId="1090">
    <w:name w:val="annotation subject"/>
    <w:basedOn w:val="1088"/>
    <w:next w:val="1088"/>
    <w:link w:val="1091"/>
    <w:rPr>
      <w:b/>
      <w:bCs/>
    </w:rPr>
  </w:style>
  <w:style w:type="character" w:styleId="1091" w:customStyle="1">
    <w:name w:val="Тема примечания Знак"/>
    <w:link w:val="1090"/>
    <w:rPr>
      <w:b/>
      <w:bCs/>
    </w:rPr>
  </w:style>
  <w:style w:type="table" w:styleId="1092" w:customStyle="1">
    <w:name w:val="Table Normal"/>
    <w:uiPriority w:val="2"/>
    <w:semiHidden/>
    <w:unhideWhenUsed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W w:w="0" w:type="auto"/>
    </w:tcPr>
  </w:style>
  <w:style w:type="paragraph" w:styleId="1093" w:customStyle="1">
    <w:name w:val="Table Paragraph"/>
    <w:uiPriority w:val="1"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1094" w:customStyle="1">
    <w:name w:val="ConsPlusNonformat"/>
    <w:pPr>
      <w:widowControl w:val="off"/>
    </w:pPr>
    <w:rPr>
      <w:rFonts w:ascii="Courier New" w:hAnsi="Courier New" w:cs="Courier New" w:eastAsiaTheme="minorEastAsia"/>
      <w:szCs w:val="22"/>
      <w:lang w:eastAsia="ru-RU"/>
    </w:rPr>
  </w:style>
  <w:style w:type="paragraph" w:styleId="1095" w:customStyle="1">
    <w:name w:val="ConsPlusDocList"/>
    <w:pPr>
      <w:widowControl w:val="off"/>
    </w:pPr>
    <w:rPr>
      <w:rFonts w:ascii="Calibri" w:hAnsi="Calibri" w:cs="Calibri" w:eastAsiaTheme="minorEastAsia"/>
      <w:sz w:val="22"/>
      <w:szCs w:val="22"/>
      <w:lang w:eastAsia="ru-RU"/>
    </w:rPr>
  </w:style>
  <w:style w:type="paragraph" w:styleId="1096" w:customStyle="1">
    <w:name w:val="ConsPlusTitlePage"/>
    <w:pPr>
      <w:widowControl w:val="off"/>
    </w:pPr>
    <w:rPr>
      <w:rFonts w:ascii="Tahoma" w:hAnsi="Tahoma" w:cs="Tahoma" w:eastAsiaTheme="minorEastAsia"/>
      <w:szCs w:val="22"/>
      <w:lang w:eastAsia="ru-RU"/>
    </w:rPr>
  </w:style>
  <w:style w:type="paragraph" w:styleId="1097" w:customStyle="1">
    <w:name w:val="ConsPlusJurTerm"/>
    <w:pPr>
      <w:widowControl w:val="off"/>
    </w:pPr>
    <w:rPr>
      <w:rFonts w:ascii="Tahoma" w:hAnsi="Tahoma" w:cs="Tahoma" w:eastAsiaTheme="minorEastAsia"/>
      <w:sz w:val="26"/>
      <w:szCs w:val="22"/>
      <w:lang w:eastAsia="ru-RU"/>
    </w:rPr>
  </w:style>
  <w:style w:type="paragraph" w:styleId="1098" w:customStyle="1">
    <w:name w:val="ConsPlusTextList"/>
    <w:pPr>
      <w:widowControl w:val="off"/>
    </w:pPr>
    <w:rPr>
      <w:rFonts w:ascii="Arial" w:hAnsi="Arial" w:cs="Arial" w:eastAsiaTheme="minorEastAsia"/>
      <w:szCs w:val="22"/>
      <w:lang w:eastAsia="ru-RU"/>
    </w:rPr>
  </w:style>
  <w:style w:type="paragraph" w:styleId="1099" w:customStyle="1">
    <w:name w:val="Заголовок 11"/>
    <w:qFormat/>
    <w:pPr>
      <w:keepNext/>
      <w:spacing w:before="240" w:after="6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character" w:styleId="1100" w:customStyle="1">
    <w:name w:val="Гипертекстовая ссылка"/>
    <w:uiPriority w:val="99"/>
    <w:rPr>
      <w:color w:val="106bbe"/>
    </w:rPr>
  </w:style>
  <w:style w:type="character" w:styleId="1101" w:customStyle="1">
    <w:name w:val="Font Style16"/>
    <w:qFormat/>
    <w:rPr>
      <w:rFonts w:ascii="Times New Roman" w:hAnsi="Times New Roman"/>
      <w:sz w:val="24"/>
    </w:rPr>
  </w:style>
  <w:style w:type="paragraph" w:styleId="1102" w:customStyle="1">
    <w:name w:val="Body Text Indent 21"/>
    <w:pPr>
      <w:ind w:firstLine="709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ru-RU"/>
    </w:rPr>
  </w:style>
  <w:style w:type="character" w:styleId="1103" w:customStyle="1">
    <w:name w:val="markedcontent"/>
  </w:style>
  <w:style w:type="paragraph" w:styleId="1104" w:customStyle="1">
    <w:name w:val="Основной текст с отступом 21"/>
    <w:pPr>
      <w:ind w:firstLine="708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6"/>
      <w:szCs w:val="24"/>
      <w:lang w:val="en-US" w:eastAsia="en-US"/>
    </w:rPr>
  </w:style>
  <w:style w:type="paragraph" w:styleId="1105" w:customStyle="1">
    <w:name w:val="Обычный (веб)1"/>
    <w:next w:val="813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  <w:lang w:eastAsia="ru-RU"/>
    </w:rPr>
  </w:style>
  <w:style w:type="character" w:styleId="1106" w:customStyle="1">
    <w:name w:val="Гиперссылка1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customXml" Target="../customXml/item1.xml" /><Relationship Id="rId15" Type="http://schemas.openxmlformats.org/officeDocument/2006/relationships/hyperlink" Target="https://login.consultant.ru/link/?req=doc&amp;base=LAW&amp;n=411214" TargetMode="External"/><Relationship Id="rId16" Type="http://schemas.openxmlformats.org/officeDocument/2006/relationships/hyperlink" Target="https://login.consultant.ru/link/?req=doc&amp;base=LAW&amp;n=441135" TargetMode="External"/><Relationship Id="rId17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login.consultant.ru/link/?req=doc&amp;base=LAW&amp;n=441135" TargetMode="External"/><Relationship Id="rId19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hyperlink" Target="https://login.consultant.ru/link/?req=doc&amp;base=LAW&amp;n=4411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3F54D-1407-4254-BB5A-57F76501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Лисютченко</dc:creator>
  <cp:revision>465</cp:revision>
  <dcterms:created xsi:type="dcterms:W3CDTF">2024-09-09T08:18:00Z</dcterms:created>
  <dcterms:modified xsi:type="dcterms:W3CDTF">2026-02-06T11:17:45Z</dcterms:modified>
  <cp:version>983040</cp:version>
</cp:coreProperties>
</file>